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FE14C5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FE14C5">
        <w:rPr>
          <w:sz w:val="28"/>
          <w:szCs w:val="28"/>
        </w:rPr>
        <w:t>_</w:t>
      </w:r>
      <w:r w:rsidR="002D715A">
        <w:rPr>
          <w:sz w:val="28"/>
          <w:szCs w:val="28"/>
        </w:rPr>
        <w:t xml:space="preserve">» </w:t>
      </w:r>
      <w:r w:rsidR="0050666D">
        <w:rPr>
          <w:sz w:val="28"/>
          <w:szCs w:val="28"/>
        </w:rPr>
        <w:t xml:space="preserve"> </w:t>
      </w:r>
      <w:r w:rsidR="00FE14C5">
        <w:rPr>
          <w:sz w:val="28"/>
          <w:szCs w:val="28"/>
        </w:rPr>
        <w:t>__________</w:t>
      </w:r>
      <w:r w:rsidR="005066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0666D">
        <w:rPr>
          <w:sz w:val="28"/>
          <w:szCs w:val="28"/>
        </w:rPr>
        <w:t>23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FE14C5">
        <w:rPr>
          <w:sz w:val="28"/>
          <w:szCs w:val="28"/>
        </w:rPr>
        <w:t>3</w:t>
      </w:r>
      <w:r w:rsidR="002F76C7">
        <w:rPr>
          <w:rFonts w:hint="eastAsia"/>
          <w:sz w:val="28"/>
          <w:szCs w:val="28"/>
        </w:rPr>
        <w:t>.12.20</w:t>
      </w:r>
      <w:r w:rsidR="00FE14C5">
        <w:rPr>
          <w:sz w:val="28"/>
          <w:szCs w:val="28"/>
        </w:rPr>
        <w:t>22</w:t>
      </w:r>
      <w:r w:rsidR="00FE14C5">
        <w:rPr>
          <w:rFonts w:hint="eastAsia"/>
          <w:sz w:val="28"/>
          <w:szCs w:val="28"/>
        </w:rPr>
        <w:t xml:space="preserve">г. № </w:t>
      </w:r>
      <w:r w:rsidR="00FE14C5">
        <w:rPr>
          <w:sz w:val="28"/>
          <w:szCs w:val="28"/>
        </w:rPr>
        <w:t>50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FE14C5">
        <w:rPr>
          <w:sz w:val="28"/>
          <w:szCs w:val="28"/>
        </w:rPr>
        <w:t>3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FE14C5">
        <w:rPr>
          <w:sz w:val="28"/>
          <w:szCs w:val="28"/>
        </w:rPr>
        <w:t>4</w:t>
      </w:r>
      <w:r w:rsidR="002F76C7">
        <w:rPr>
          <w:rFonts w:hint="eastAsia"/>
          <w:sz w:val="28"/>
          <w:szCs w:val="28"/>
        </w:rPr>
        <w:t xml:space="preserve"> и 202</w:t>
      </w:r>
      <w:r w:rsidR="00FE14C5">
        <w:rPr>
          <w:sz w:val="28"/>
          <w:szCs w:val="28"/>
        </w:rPr>
        <w:t>5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</w:t>
      </w:r>
      <w:r w:rsidR="00137B07" w:rsidRPr="00137B07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 w:rsidRPr="00547982">
        <w:rPr>
          <w:rFonts w:hint="eastAsia"/>
          <w:sz w:val="28"/>
          <w:szCs w:val="28"/>
        </w:rPr>
        <w:t>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>Главы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 </w:t>
      </w:r>
      <w:r>
        <w:rPr>
          <w:rFonts w:hint="eastAsia"/>
          <w:b/>
          <w:sz w:val="28"/>
          <w:szCs w:val="28"/>
        </w:rPr>
        <w:tab/>
        <w:t xml:space="preserve"> </w:t>
      </w:r>
      <w:r w:rsidRPr="003748B8">
        <w:rPr>
          <w:rFonts w:hint="eastAsia"/>
          <w:b/>
          <w:sz w:val="28"/>
          <w:szCs w:val="28"/>
        </w:rPr>
        <w:t xml:space="preserve">                                 </w:t>
      </w:r>
      <w:r w:rsidR="0050666D">
        <w:rPr>
          <w:b/>
          <w:sz w:val="28"/>
          <w:szCs w:val="28"/>
        </w:rPr>
        <w:t>С.Н. Зацарная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137B07" w:rsidRDefault="00137B07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FE14C5">
        <w:t>_</w:t>
      </w:r>
      <w:r>
        <w:t>»</w:t>
      </w:r>
      <w:r w:rsidR="00AE213E">
        <w:t xml:space="preserve"> </w:t>
      </w:r>
      <w:r w:rsidR="00FE14C5">
        <w:t>_________</w:t>
      </w:r>
      <w:r w:rsidR="0050666D">
        <w:t>2023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FE14C5">
        <w:t xml:space="preserve"> 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FE14C5">
              <w:rPr>
                <w:sz w:val="28"/>
                <w:szCs w:val="28"/>
              </w:rPr>
              <w:t>540</w:t>
            </w:r>
            <w:r w:rsidR="00E035B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10D3A">
                  <w:pPr>
                    <w:jc w:val="center"/>
                    <w:rPr>
                      <w:rFonts w:hint="eastAsia"/>
                    </w:rPr>
                  </w:pPr>
                  <w:r>
                    <w:t>141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10D3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14C5" w:rsidP="00E035B4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14C5" w:rsidP="00E035B4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035B4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547982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547982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FE14C5">
              <w:rPr>
                <w:sz w:val="28"/>
                <w:szCs w:val="28"/>
              </w:rPr>
              <w:t>540</w:t>
            </w:r>
            <w:r w:rsidR="00E035B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14C5" w:rsidP="007D5307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14C5" w:rsidP="007D5307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10D3A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</w:t>
                  </w:r>
                  <w:r w:rsidR="00E035B4">
                    <w:t>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7D5307">
                  <w:pPr>
                    <w:jc w:val="center"/>
                    <w:rPr>
                      <w:rFonts w:hint="eastAsia"/>
                    </w:rPr>
                  </w:pPr>
                  <w:r>
                    <w:t>70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E10D3A">
            <w:pPr>
              <w:jc w:val="center"/>
              <w:rPr>
                <w:rFonts w:hint="eastAsia"/>
              </w:rPr>
            </w:pPr>
            <w:r>
              <w:t>1</w:t>
            </w:r>
            <w:r w:rsidR="002928B3">
              <w:t>540</w:t>
            </w:r>
            <w: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2928B3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E035B4"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2928B3" w:rsidP="00FE14C5">
            <w:pPr>
              <w:jc w:val="center"/>
              <w:rPr>
                <w:rFonts w:hint="eastAsia"/>
              </w:rPr>
            </w:pPr>
            <w:r>
              <w:t>1540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2928B3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E035B4"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70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928B3" w:rsidP="007821D6">
            <w:pPr>
              <w:jc w:val="center"/>
              <w:rPr>
                <w:rFonts w:hint="eastAsia"/>
              </w:rPr>
            </w:pPr>
            <w:r>
              <w:t>1540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928B3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928B3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928B3" w:rsidP="007821D6">
            <w:pPr>
              <w:jc w:val="center"/>
              <w:rPr>
                <w:rFonts w:hint="eastAsia"/>
              </w:rPr>
            </w:pPr>
            <w:r>
              <w:t>7</w:t>
            </w:r>
            <w:r w:rsidR="00E035B4">
              <w:t>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928B3" w:rsidP="007821D6">
            <w:pPr>
              <w:jc w:val="center"/>
              <w:rPr>
                <w:rFonts w:hint="eastAsia"/>
              </w:rPr>
            </w:pPr>
            <w:r>
              <w:t>70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D724E" w:rsidRDefault="00E10D3A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1540</w:t>
            </w:r>
            <w:r w:rsidR="00E10D3A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165</w:t>
            </w:r>
            <w:r w:rsidR="00E10D3A"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</w:t>
            </w:r>
            <w:r w:rsidR="002928B3">
              <w:t>540</w:t>
            </w:r>
            <w: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165</w:t>
            </w:r>
            <w:r w:rsidR="00E10D3A"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064"/>
        <w:gridCol w:w="1264"/>
        <w:gridCol w:w="756"/>
        <w:gridCol w:w="756"/>
        <w:gridCol w:w="756"/>
        <w:gridCol w:w="756"/>
        <w:gridCol w:w="756"/>
        <w:gridCol w:w="636"/>
        <w:gridCol w:w="69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10D3A" w:rsidRPr="00A60D93" w:rsidTr="00FE14C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395978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1540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165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1540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165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FE14C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1540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165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1540</w:t>
            </w:r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2928B3" w:rsidP="00FE14C5">
            <w:pPr>
              <w:jc w:val="center"/>
              <w:rPr>
                <w:rFonts w:hint="eastAsia"/>
              </w:rPr>
            </w:pPr>
            <w:r>
              <w:t>165</w:t>
            </w:r>
            <w:bookmarkStart w:id="0" w:name="_GoBack"/>
            <w:bookmarkEnd w:id="0"/>
            <w:r w:rsidR="00E10D3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>
              <w:t>70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FE14C5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37B07"/>
    <w:rsid w:val="00172534"/>
    <w:rsid w:val="00183145"/>
    <w:rsid w:val="00186BF0"/>
    <w:rsid w:val="001A53BD"/>
    <w:rsid w:val="001F7A5C"/>
    <w:rsid w:val="00243BA1"/>
    <w:rsid w:val="002928B3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0666D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035B4"/>
    <w:rsid w:val="00E10D3A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  <w:rsid w:val="00FE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AD1D-ED7C-4EA1-87E0-5A6EBC25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49</cp:revision>
  <cp:lastPrinted>2019-02-04T09:51:00Z</cp:lastPrinted>
  <dcterms:created xsi:type="dcterms:W3CDTF">2018-10-11T10:51:00Z</dcterms:created>
  <dcterms:modified xsi:type="dcterms:W3CDTF">2023-08-31T12:04:00Z</dcterms:modified>
</cp:coreProperties>
</file>