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5D1AF0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015B1C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</w:t>
      </w:r>
      <w:r w:rsidR="00015B1C">
        <w:rPr>
          <w:sz w:val="28"/>
          <w:szCs w:val="28"/>
        </w:rPr>
        <w:t>________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635DE8" w:rsidRPr="00635DE8">
        <w:rPr>
          <w:rFonts w:hint="eastAsia"/>
          <w:b/>
          <w:sz w:val="28"/>
        </w:rPr>
        <w:t>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поселение»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635DE8" w:rsidRPr="00635DE8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поселение»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35DE8" w:rsidRDefault="006A6F49" w:rsidP="00635DE8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«_» _______2023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Отчет </w:t>
      </w: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 реализации муниципальной программы </w:t>
      </w:r>
    </w:p>
    <w:p w:rsidR="00635DE8" w:rsidRPr="00635DE8" w:rsidRDefault="0015192B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="00635DE8"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</w:t>
      </w: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за 202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Раздел 1. Конкретные результаты реализации муниципальной программы, достигнутые за 202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год </w:t>
      </w:r>
    </w:p>
    <w:p w:rsidR="00635DE8" w:rsidRPr="00635DE8" w:rsidRDefault="00635DE8" w:rsidP="00635DE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</w:p>
    <w:p w:rsidR="00635DE8" w:rsidRPr="00635DE8" w:rsidRDefault="00635DE8" w:rsidP="00635DE8">
      <w:pPr>
        <w:widowControl/>
        <w:tabs>
          <w:tab w:val="left" w:pos="0"/>
        </w:tabs>
        <w:suppressAutoHyphens w:val="0"/>
        <w:autoSpaceDN/>
        <w:spacing w:after="20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целях создания условий для увеличения доли объектов недвижимости, с целью увеличения доходной части бюджета за счет продажи или аренды имущества повышения качества и результативности реализуемых мер по изготовлению технической документации на объекты недвижимого имущества (технические планы и кадастровые паспорта), подготовка документов, содержащих необходимые сведения для осуществления государственного кадастрового учета земельных участков, оценки рыночной стоимости и годовой арендной платы объектов</w:t>
      </w:r>
      <w:proofErr w:type="gram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недвижимого и движимого имущества, реализации полномочий по управлению муниципальным имуществом, совершенствования программного комплекса по управлению имуществом  и земельными ресурсами</w:t>
      </w:r>
      <w:r w:rsidRPr="00635DE8"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 рамках  реализации муниципальной программы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«Оформление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поселение», утвержденной Постановлением Администрацией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от 26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.11.2020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г.</w:t>
      </w:r>
      <w:r w:rsidRPr="00635DE8"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№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35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(далее муниципальная программа).</w:t>
      </w:r>
      <w:proofErr w:type="gram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Распоряжением Администрации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от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19.01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.202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№ 1 утвержден план реализации муниципальной программы на 202</w:t>
      </w:r>
      <w:r w:rsidR="001A393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год.</w:t>
      </w:r>
    </w:p>
    <w:p w:rsidR="00997E54" w:rsidRPr="00635DE8" w:rsidRDefault="00635DE8" w:rsidP="00997E54">
      <w:pPr>
        <w:widowControl/>
        <w:tabs>
          <w:tab w:val="left" w:pos="0"/>
        </w:tabs>
        <w:suppressAutoHyphens w:val="0"/>
        <w:autoSpaceDN/>
        <w:spacing w:after="20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</w:r>
      <w:r w:rsidR="00997E54"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Ответственным исполнителем и участниками муниципальной программы в 202</w:t>
      </w:r>
      <w:r w:rsidR="00997E5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="00997E54"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году реализован комплекс мероприятий, в результате которых:</w:t>
      </w:r>
    </w:p>
    <w:p w:rsidR="00997E54" w:rsidRPr="00A50909" w:rsidRDefault="00997E54" w:rsidP="00997E54">
      <w:pPr>
        <w:pStyle w:val="af3"/>
        <w:widowControl/>
        <w:numPr>
          <w:ilvl w:val="0"/>
          <w:numId w:val="20"/>
        </w:numPr>
        <w:suppressAutoHyphens w:val="0"/>
        <w:autoSpaceDN/>
        <w:ind w:left="0" w:firstLine="375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C5E9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Произведена оценка рыночной стоимости</w:t>
      </w: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x-none" w:eastAsia="x-none" w:bidi="ar-SA"/>
        </w:rPr>
        <w:t xml:space="preserve"> </w:t>
      </w: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земельного участка с кадастровым номером: 61:26:0600009:355, адрес: Местоположение установлено относительно ориентира, расположенного в границах участка. Ориентир 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             </w:t>
      </w: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>х.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 </w:t>
      </w: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Николаево-Козловский, поле № 17. Почтовый адрес ориентира: Ростовская обл., р-н Неклиновский, х-во СПК </w:t>
      </w:r>
      <w:proofErr w:type="gramStart"/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>к-з</w:t>
      </w:r>
      <w:proofErr w:type="gramEnd"/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 «Украина».</w:t>
      </w:r>
    </w:p>
    <w:p w:rsidR="00997E54" w:rsidRPr="002C5E90" w:rsidRDefault="00997E54" w:rsidP="00997E54">
      <w:pPr>
        <w:pStyle w:val="af3"/>
        <w:widowControl/>
        <w:suppressAutoHyphens w:val="0"/>
        <w:autoSpaceDN/>
        <w:ind w:left="375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997E54" w:rsidRPr="002C5E90" w:rsidRDefault="00997E54" w:rsidP="00997E54">
      <w:pPr>
        <w:pStyle w:val="af3"/>
        <w:widowControl/>
        <w:numPr>
          <w:ilvl w:val="0"/>
          <w:numId w:val="20"/>
        </w:numPr>
        <w:suppressAutoHyphens w:val="0"/>
        <w:autoSpaceDN/>
        <w:ind w:left="0" w:firstLine="426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Произведена </w:t>
      </w:r>
      <w:r w:rsidRPr="002C5E90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SA"/>
        </w:rPr>
        <w:t xml:space="preserve">подготовка документов, содержащих необходимые сведения для осуществления государственного кадастрового учета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объектов недвижимости:</w:t>
      </w:r>
    </w:p>
    <w:p w:rsidR="00997E54" w:rsidRPr="002C5E90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</w:pPr>
      <w:r w:rsidRPr="002C5E90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lastRenderedPageBreak/>
        <w:t xml:space="preserve">Земельный участок с кадастровым номером: </w:t>
      </w: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>61:26:0600009:355, адрес: Местоположение установлено относительно ориентира, расположенного в границах участка. Ориентир х.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 </w:t>
      </w: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Николаево-Козловский, поле № 17. Почтовый адрес ориентира: Ростовская обл., р-н Неклиновский, х-во СПК </w:t>
      </w:r>
      <w:proofErr w:type="gramStart"/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>к-з</w:t>
      </w:r>
      <w:proofErr w:type="gramEnd"/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 «Украина».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Земельный участок с кадастровым номером: 61:26:0080801:252, адрес: Ростовская область, Неклиновский район, х.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Пудовой, улица Гагарина, 18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Жилой дом с кадастровым номером: 61:26:0080801:126, адрес: Ростовская область, Неклиновский район, х.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Пудовой, улица Гагарина, д.18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Земельный участок с кадастровым номером: 61:26:0080101:57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Нежилое здание с кадастровым номером: 61:26:0080101:1129, адрес: Ростовская область, Неклиновский район, с.Васильево-Ханжоновка, 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Мира, д.15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Нежилое здание с кадастровым номером: 61:26:0080101:1063, адрес: Ростовская область, Неклиновский район, с.Васильево-Ханжоновка, 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Мира, д.15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Земельный участок с кадастровым номером: 61:26:0080101:992, адрес: Ростовская область, Неклиновский район, с.Васильево-Ханжоновка, 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Мира, 6б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Земельный участок с кадастровым номером: 61:26:0080101:1171, адрес: Ростовская область, Неклиновский район, с.Васильево-Ханжоновка, 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Школьная, 7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Земельный участок с кадастровым номером: 61:26:0080101:1172, адрес: Ростовская область, Неклиновский район, с.Васильево-Ханжоновка, ул.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Мира, 2а</w:t>
      </w:r>
    </w:p>
    <w:p w:rsidR="00997E54" w:rsidRP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Земельный участок с кадастровым номером: 61:26:0080101:1173, адрес: Ростовская область, Неклиновский район, с.Васильево-Ханжоновка, пер.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Галухина, 4а</w:t>
      </w:r>
    </w:p>
    <w:p w:rsidR="00997E54" w:rsidRPr="00635DE8" w:rsidRDefault="00997E54" w:rsidP="00997E54">
      <w:pPr>
        <w:widowControl/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highlight w:val="yellow"/>
          <w:lang w:eastAsia="x-none" w:bidi="ar-SA"/>
        </w:rPr>
      </w:pPr>
    </w:p>
    <w:p w:rsidR="00997E54" w:rsidRPr="00635DE8" w:rsidRDefault="00997E54" w:rsidP="00997E54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F0FA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3.Увеличена доля муниципальных объектов недвижимости, право муниципальной собственности, на которые зарегистрировано.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635DE8" w:rsidRPr="00635DE8" w:rsidRDefault="00635DE8" w:rsidP="00635DE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Раздел 2. Результаты реализации основных мероприятий, в разрезе подпрограмм муниципальной программы 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suppressAutoHyphens w:val="0"/>
        <w:autoSpaceDN/>
        <w:spacing w:after="200" w:line="276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Муниципальная программа включает в себя следующие подпрограммы:</w:t>
      </w:r>
    </w:p>
    <w:p w:rsidR="00635DE8" w:rsidRPr="00635DE8" w:rsidRDefault="00635DE8" w:rsidP="00635DE8">
      <w:pPr>
        <w:suppressAutoHyphens w:val="0"/>
        <w:autoSpaceDN/>
        <w:spacing w:after="200" w:line="276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Подпрограмма 1 – «Повышение эффективности управления муниципальным имуществом и приватизации».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br/>
        <w:t xml:space="preserve">         Подпрограмма 2 –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«Создание условий для реализации муниципальной программы».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        В соответствии с постановлением Администрации 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Васильево-Ханжоновского 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сельского поселения от 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26.11.2020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№ 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35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, распоряжением Администрации 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сельского поселения от 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19.01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.20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22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№ 1 утвержден план реализации муниципальной программы на 202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год.</w:t>
      </w:r>
    </w:p>
    <w:p w:rsidR="00635DE8" w:rsidRPr="00635DE8" w:rsidRDefault="00635DE8" w:rsidP="00635DE8">
      <w:pPr>
        <w:suppressAutoHyphens w:val="0"/>
        <w:autoSpaceDN/>
        <w:spacing w:after="200" w:line="276" w:lineRule="auto"/>
        <w:ind w:firstLine="851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На реализацию основных мероприятий подпрограммы 1 «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Повышение эффективности управления муниципальным имуществом и приватизации»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(далее – подпрограмма 1) на 202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год предусмотрено 1,0 тыс. рублей.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Основные м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ероприятия подпрограммы 1 реализуются в течение 202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года н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 постоянной основе.</w:t>
      </w:r>
    </w:p>
    <w:p w:rsidR="00635DE8" w:rsidRPr="00635DE8" w:rsidRDefault="00635DE8" w:rsidP="00635DE8">
      <w:pPr>
        <w:suppressAutoHyphens w:val="0"/>
        <w:autoSpaceDN/>
        <w:spacing w:after="200" w:line="276" w:lineRule="auto"/>
        <w:ind w:firstLine="851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На реализацию основных мероприятий подпрограммы 2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«Создание условий для реализации муниципальной программы» 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(далее – подпрограмма 2) расходы бюджета поселения не предусмотрены.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Основные м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ероприятия подпрограммы 2 реализуются в течение 202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года н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 постоянной основе.</w:t>
      </w:r>
    </w:p>
    <w:p w:rsidR="00635DE8" w:rsidRPr="00635DE8" w:rsidRDefault="00635DE8" w:rsidP="00635DE8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Отчет об исполнении плана  реализации муниципальной программы: «Оформление права собственности на муниципальное имущество и бесхозяйные объекты муниципального образования «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Васильево-Ханжоновское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поселение», отчетный период 202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года  представлен по форме таблицы 11 к Методическим рекомендациям по разработке и реализации муниципальных программ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поселения, утвержденным распоряжением Администрации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кого поселения от 16.0.2013 № 15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9 (далее – Методические рекомендации).</w:t>
      </w: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Сведения о выполнении основных мероприятий,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635DE8" w:rsidRPr="00635DE8" w:rsidRDefault="00635DE8" w:rsidP="00635DE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Раздел 3. Анализ факторов, повлиявших на ход реализации муниципальной программы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tabs>
          <w:tab w:val="center" w:pos="5669"/>
          <w:tab w:val="left" w:pos="9049"/>
        </w:tabs>
        <w:suppressAutoHyphens w:val="0"/>
        <w:autoSpaceDN/>
        <w:spacing w:after="200"/>
        <w:ind w:firstLine="851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Раздел 4. Результаты использования бюджетных ассигнований и внебюджетных средств на реализацию мероприятий муниципальной программы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Объем запланированных расходов на реализацию муниципальной программы на 202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 составил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1,0 тыс. рублей, в том числе по источникам финансирования: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областной бюджет – 0,0 тыс. рублей;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безвозмездные поступления из областного и федерального бюджетов – 0,0 тыс. рублей;</w:t>
      </w:r>
      <w:proofErr w:type="gramEnd"/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местный бюджет – 1,0 тыс. рублей;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внебюджетные источники – 0,0 тыс. рублей.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Уточненный план бюджетных ассигнований в соответствии с Решением Собрания депутатов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Васильево-Ханжоновского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сельского поселения от 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7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.12.20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21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г. №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20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«О бюджете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на 202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 и на плановый период 202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 202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годов» составил 1,0 тыс. рублей. В соответствии со сводной бюджетной росписью – 1,0 тыс. рублей, в том числе по источникам финансирования: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местный бюджет – 1,0 тыс. рублей;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безвозмездные поступления из областного и федерального бюджетов – 0,0 тыс. рублей.</w:t>
      </w:r>
      <w:proofErr w:type="gramEnd"/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Исполнение расходов по муниципальной программе составило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0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,0 тыс. рублей, в том числе по источникам финансирования: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областной бюджет – 0,0 тыс. рублей;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безвозмездные поступления из областного и федерального бюджетов – 0,0 тыс. рублей;</w:t>
      </w:r>
      <w:proofErr w:type="gramEnd"/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местный бюджет –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0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,0 тыс. рублей;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внебюджетные источники – 0,0 тыс. рублей.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Объем неосвоенных бюджетных ассигнований бюджета поселения и безвозмездных поступлен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ий в бюджет поселения составил 1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,0 тыс. рублей.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 приведены в приложении №2 к отчету о реализации муниципальной программы.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suppressAutoHyphens w:val="0"/>
        <w:autoSpaceDN/>
        <w:spacing w:after="200"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Раздел 5. </w:t>
      </w:r>
      <w:r w:rsidRPr="00635DE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Сведения о достижении значений показателей (индикаторов) муниципальной программы</w:t>
      </w:r>
    </w:p>
    <w:p w:rsidR="00635DE8" w:rsidRPr="00635DE8" w:rsidRDefault="00635DE8" w:rsidP="00635DE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BA18C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Муниципальной программой «Оформление права собственности на муниципальное имущество и бесхозяйные объекты муниципального образования</w:t>
      </w:r>
    </w:p>
    <w:p w:rsidR="00635DE8" w:rsidRPr="00635DE8" w:rsidRDefault="00635DE8" w:rsidP="00635DE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«</w:t>
      </w:r>
      <w:r w:rsidR="00BA18C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Васильево-Ханжоновское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предусмотрено 2 подпрограммы. Подпрограммой «Повышение эффективности управления муниципальным имуществом и приватизации» предусмотрено 3 показателя (индикатора).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Из показателей подпрограммы 1: </w:t>
      </w:r>
    </w:p>
    <w:p w:rsidR="00635DE8" w:rsidRPr="00635DE8" w:rsidRDefault="00635DE8" w:rsidP="00635DE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-Основное мероприятие 1.2 фактическое значение соответствует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плановому</w:t>
      </w:r>
      <w:proofErr w:type="gram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635DE8" w:rsidRPr="00635DE8" w:rsidRDefault="00635DE8" w:rsidP="00635DE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-Основное мероприятие 1.3 фактическое значение соответствует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плановому</w:t>
      </w:r>
      <w:proofErr w:type="gram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№3 к отчету о реализации муниципальной программы.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997E54" w:rsidRDefault="00997E54" w:rsidP="00635DE8">
      <w:pPr>
        <w:widowControl/>
        <w:tabs>
          <w:tab w:val="left" w:pos="1276"/>
        </w:tabs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 w:bidi="ar-SA"/>
        </w:rPr>
      </w:pPr>
    </w:p>
    <w:p w:rsidR="00997E54" w:rsidRDefault="00997E54" w:rsidP="00635DE8">
      <w:pPr>
        <w:widowControl/>
        <w:tabs>
          <w:tab w:val="left" w:pos="1276"/>
        </w:tabs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tabs>
          <w:tab w:val="left" w:pos="1276"/>
        </w:tabs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 w:bidi="ar-SA"/>
        </w:rPr>
        <w:lastRenderedPageBreak/>
        <w:t>Раздел 6. Информация о внесенных ответственным исполнителем</w:t>
      </w:r>
      <w:r w:rsidRPr="00635DE8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 w:bidi="ar-SA"/>
        </w:rPr>
        <w:br/>
        <w:t>изменениях в муниципальную программу</w:t>
      </w:r>
    </w:p>
    <w:p w:rsidR="00635DE8" w:rsidRPr="00635DE8" w:rsidRDefault="00635DE8" w:rsidP="00635DE8">
      <w:pPr>
        <w:widowControl/>
        <w:tabs>
          <w:tab w:val="left" w:pos="1276"/>
        </w:tabs>
        <w:suppressAutoHyphens w:val="0"/>
        <w:autoSpaceDE w:val="0"/>
        <w:adjustRightInd w:val="0"/>
        <w:spacing w:after="20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 xml:space="preserve">Муниципальная программа утверждена постановлением Администрации </w:t>
      </w:r>
      <w:r w:rsidR="000E2EF0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>Васильево-Ханжоновского сельского поселения от 26.11.2020 № 35</w:t>
      </w:r>
      <w:r w:rsidRPr="00635DE8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 xml:space="preserve">. </w:t>
      </w:r>
    </w:p>
    <w:p w:rsidR="00635DE8" w:rsidRPr="00635DE8" w:rsidRDefault="00635DE8" w:rsidP="00635DE8">
      <w:pPr>
        <w:widowControl/>
        <w:tabs>
          <w:tab w:val="left" w:pos="1276"/>
        </w:tabs>
        <w:suppressAutoHyphens w:val="0"/>
        <w:autoSpaceDE w:val="0"/>
        <w:adjustRightInd w:val="0"/>
        <w:spacing w:after="20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0E2EF0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 xml:space="preserve"> сельского поселения «О бюджете </w:t>
      </w:r>
      <w:r w:rsidR="000E2EF0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 xml:space="preserve"> сельского поселе</w:t>
      </w:r>
      <w:r w:rsidR="000E2EF0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>ния Неклиновского района на 2022 год и на плановый период 2023 и 2024 годов» от 27.12.2021 № 20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Раздел 7. Результаты оценки эффективности реализации муниципальной программы</w:t>
      </w:r>
    </w:p>
    <w:p w:rsidR="00635DE8" w:rsidRPr="00635DE8" w:rsidRDefault="00635DE8" w:rsidP="00635DE8">
      <w:pPr>
        <w:widowControl/>
        <w:tabs>
          <w:tab w:val="left" w:pos="7970"/>
        </w:tabs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ab/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1) Степень достижения целевых показателей муниципальной программы, подпрограмм муниципальной программы: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ИД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/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ИЦ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где: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ИД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ИЦ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Подпрограмма 1: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индикатор 1.2: 2/ 2= 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индикатор 1.3: 2/ 2= 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2) Суммарная оценка степени достижения целевых показателей муниципальной программы: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где: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о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val="en-US" w:eastAsia="en-US" w:bidi="ar-SA"/>
        </w:rPr>
        <w:t>i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номер</w:t>
      </w:r>
      <w:proofErr w:type="gram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показателя муниципальной программы;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val="en-US" w:eastAsia="en-US" w:bidi="ar-SA"/>
        </w:rPr>
        <w:t>n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количество</w:t>
      </w:r>
      <w:proofErr w:type="gram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целевых показателей муниципальной программы.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1+1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о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= ------------------------ =  1                                                                                          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   2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3) Степень реализации основных мероприятий, финансируемых за счет всех источников финансирования: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СРом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Мв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/ М,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где: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СРом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степень реализации основных мероприятий;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Мв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 – общее количество основных мероприятий, запланированных к реализации в отчетном году.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СРом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4/ 4 = 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4) Степень реализации мероприятий: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Мв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/ М,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где: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степень реализации мероприятий;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Мв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 – общее количество мероприятий, запланированных к реализации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  <w:t>в отчетном году.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4 /4 = 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5) Степень соответствия запланированному уровню расходов: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ССуз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Зф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/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где: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ССуз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степень соответствия запланированному уровню расходов;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Зф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0E2EF0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ССуз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0,0 / 1,0 = 0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6) Эффективность использования средств бюджета поселения: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1562100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где: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эффективность использования финансовых ресурсов на реализацию программы;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степень реализации всех мероприятий программы;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степень соответствия запланированному уровню расходов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  <w:t>из  бюджета района.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 1 / 1 = 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7) Уровень реализации муниципальной программы в целом: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УР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пр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=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о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х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0,5 +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ом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х 0,3 +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ис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х 0,2.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УР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пр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= 1 х 0,5 + 1 х 0,3 + 1 х 0,2 = 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bCs/>
          <w:iCs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ис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составляет 0,95 и более.</w:t>
      </w:r>
    </w:p>
    <w:p w:rsidR="00635DE8" w:rsidRPr="00635DE8" w:rsidRDefault="00635DE8" w:rsidP="00635DE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suppressAutoHyphens w:val="0"/>
        <w:autoSpaceDN/>
        <w:spacing w:after="200" w:line="276" w:lineRule="auto"/>
        <w:ind w:firstLine="851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8. Результаты реализации мер</w:t>
      </w: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br/>
        <w:t>муниципального и правового регулирования</w:t>
      </w:r>
    </w:p>
    <w:p w:rsidR="00635DE8" w:rsidRPr="00635DE8" w:rsidRDefault="000E2EF0" w:rsidP="00635DE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Достижение результатов в 2022</w:t>
      </w:r>
      <w:r w:rsidR="00635DE8"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0E2EF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«Оформление права собственности на муниципальное имущество и бесхозяйные объекты муниципального образования «</w:t>
      </w:r>
      <w:r w:rsidR="000E2EF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Васильево-Ханжоновское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за 202</w:t>
      </w:r>
      <w:r w:rsidR="000E2EF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год (далее-План реализации).</w:t>
      </w:r>
    </w:p>
    <w:p w:rsidR="00635DE8" w:rsidRPr="00635DE8" w:rsidRDefault="00635DE8" w:rsidP="00635DE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Раздел 9. Предложения по дальнейшей реализации муниципальной программы</w:t>
      </w: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Принятие</w:t>
      </w:r>
      <w:r w:rsidRPr="00635DE8">
        <w:rPr>
          <w:rFonts w:ascii="Calibri" w:eastAsia="Calibri" w:hAnsi="Calibri" w:cs="Times New Roman"/>
          <w:color w:val="000000"/>
          <w:kern w:val="0"/>
          <w:sz w:val="22"/>
          <w:szCs w:val="28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дополнительных мер по реализации и корректировке основных мероприятий не требуется.</w:t>
      </w: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sectPr w:rsidR="00635DE8" w:rsidRPr="00635DE8" w:rsidSect="00BA18CB">
          <w:pgSz w:w="11906" w:h="16838"/>
          <w:pgMar w:top="851" w:right="851" w:bottom="851" w:left="1276" w:header="709" w:footer="709" w:gutter="0"/>
          <w:cols w:space="720"/>
          <w:docGrid w:linePitch="299"/>
        </w:sect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ab/>
      </w: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Приложение №1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к отчету о реализации 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муниципальной программы «Оформление права собственности 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на муниципальное имущество и бесхозяйные объекты 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муниципального образования 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«</w:t>
      </w:r>
      <w:r w:rsidR="00B9682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Васильево-Ханжоновское </w:t>
      </w: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сельское поселение»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Таблица 11 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СВЕДЕНИЯ</w:t>
      </w:r>
    </w:p>
    <w:p w:rsidR="00635DE8" w:rsidRPr="00635DE8" w:rsidRDefault="00635DE8" w:rsidP="00635DE8">
      <w:pPr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</w:t>
      </w:r>
      <w:r w:rsidR="00B9682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муниципальной программы за 2022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417"/>
        <w:gridCol w:w="1419"/>
        <w:gridCol w:w="1985"/>
        <w:gridCol w:w="1417"/>
        <w:gridCol w:w="1276"/>
      </w:tblGrid>
      <w:tr w:rsidR="00635DE8" w:rsidRPr="00635DE8" w:rsidTr="00BA18CB">
        <w:trPr>
          <w:trHeight w:val="552"/>
        </w:trPr>
        <w:tc>
          <w:tcPr>
            <w:tcW w:w="710" w:type="dxa"/>
            <w:vMerge w:val="restart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№ </w:t>
            </w:r>
            <w:proofErr w:type="gramStart"/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</w:t>
            </w:r>
            <w:proofErr w:type="gramEnd"/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/п</w:t>
            </w:r>
          </w:p>
        </w:tc>
        <w:tc>
          <w:tcPr>
            <w:tcW w:w="3827" w:type="dxa"/>
            <w:vMerge w:val="restart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Номер и наименование  </w:t>
            </w:r>
          </w:p>
          <w:p w:rsidR="00635DE8" w:rsidRPr="00635DE8" w:rsidRDefault="005D1AF0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w:anchor="Par1127" w:history="1">
              <w:r w:rsidR="00635DE8" w:rsidRPr="00635DE8">
                <w:rPr>
                  <w:rFonts w:ascii="Times New Roman" w:eastAsia="Calibri" w:hAnsi="Times New Roman" w:cs="Times New Roman"/>
                  <w:kern w:val="0"/>
                  <w:lang w:eastAsia="en-US" w:bidi="ar-SA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Ответственный   исполнитель, соисполнитель, участник   (должность/ ФИО)</w:t>
            </w:r>
          </w:p>
        </w:tc>
        <w:tc>
          <w:tcPr>
            <w:tcW w:w="1417" w:type="dxa"/>
            <w:vMerge w:val="restart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Причины не реализации/ реализации не в полном объеме</w:t>
            </w:r>
          </w:p>
        </w:tc>
      </w:tr>
      <w:tr w:rsidR="00635DE8" w:rsidRPr="00635DE8" w:rsidTr="00BA18CB">
        <w:tc>
          <w:tcPr>
            <w:tcW w:w="710" w:type="dxa"/>
            <w:vMerge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начала реализации</w:t>
            </w:r>
          </w:p>
        </w:tc>
        <w:tc>
          <w:tcPr>
            <w:tcW w:w="1419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окончания реализации</w:t>
            </w:r>
          </w:p>
        </w:tc>
        <w:tc>
          <w:tcPr>
            <w:tcW w:w="1985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заплани-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достигнутые</w:t>
            </w:r>
          </w:p>
        </w:tc>
        <w:tc>
          <w:tcPr>
            <w:tcW w:w="1276" w:type="dxa"/>
            <w:vMerge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35DE8" w:rsidRPr="00635DE8" w:rsidTr="00BA18CB">
        <w:tc>
          <w:tcPr>
            <w:tcW w:w="710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419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</w:t>
            </w:r>
          </w:p>
        </w:tc>
      </w:tr>
      <w:tr w:rsidR="00635DE8" w:rsidRPr="00635DE8" w:rsidTr="00BA18CB">
        <w:tc>
          <w:tcPr>
            <w:tcW w:w="710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Подпрограмма 1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«Повышение эффективности управления муниципальным имуществом и приватизации»</w:t>
            </w:r>
          </w:p>
        </w:tc>
        <w:tc>
          <w:tcPr>
            <w:tcW w:w="1842" w:type="dxa"/>
          </w:tcPr>
          <w:p w:rsidR="00635DE8" w:rsidRPr="00635DE8" w:rsidRDefault="00635DE8" w:rsidP="00B9682C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Ведущий специалист </w:t>
            </w:r>
            <w:r w:rsidR="00B9682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Новикова О.С.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419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1985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</w:tr>
      <w:tr w:rsidR="00B9682C" w:rsidRPr="00635DE8" w:rsidTr="00BA18CB">
        <w:tc>
          <w:tcPr>
            <w:tcW w:w="710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Основное мероприятие 1.2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Подготовка документов,</w:t>
            </w:r>
          </w:p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содержащих необходимые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сведения для осуществления государственного кадастрового учета земельных участков</w:t>
            </w:r>
          </w:p>
        </w:tc>
        <w:tc>
          <w:tcPr>
            <w:tcW w:w="1842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B9682C" w:rsidRPr="00635DE8" w:rsidRDefault="00B9682C" w:rsidP="00B9682C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Ведущий специалист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Новикова О.С</w:t>
            </w: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417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Х</w:t>
            </w:r>
          </w:p>
        </w:tc>
        <w:tc>
          <w:tcPr>
            <w:tcW w:w="1417" w:type="dxa"/>
          </w:tcPr>
          <w:p w:rsidR="00B9682C" w:rsidRPr="00635DE8" w:rsidRDefault="00B9682C" w:rsidP="00B9682C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419" w:type="dxa"/>
          </w:tcPr>
          <w:p w:rsidR="00B9682C" w:rsidRPr="00635DE8" w:rsidRDefault="00B9682C" w:rsidP="00B9682C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1985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1,0</w:t>
            </w:r>
          </w:p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Увеличение количества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земельных участков для межевания</w:t>
            </w:r>
          </w:p>
        </w:tc>
        <w:tc>
          <w:tcPr>
            <w:tcW w:w="1417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0</w:t>
            </w: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,0</w:t>
            </w:r>
          </w:p>
          <w:p w:rsidR="00B9682C" w:rsidRPr="00635DE8" w:rsidRDefault="00B9682C" w:rsidP="00B9682C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35DE8" w:rsidRPr="00635DE8" w:rsidTr="00BA18CB">
        <w:tc>
          <w:tcPr>
            <w:tcW w:w="710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3</w:t>
            </w:r>
          </w:p>
        </w:tc>
        <w:tc>
          <w:tcPr>
            <w:tcW w:w="3827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Основное мероприятие 1.3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Оценка рыночной стоимости и годовой арендной платы объектов недвижимого и движимого имущества</w:t>
            </w:r>
          </w:p>
        </w:tc>
        <w:tc>
          <w:tcPr>
            <w:tcW w:w="1842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Ведущий специалист </w:t>
            </w:r>
            <w:r w:rsidR="00B9682C" w:rsidRPr="00B9682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Новикова О.С</w:t>
            </w:r>
            <w:r w:rsidR="00B9682C" w:rsidRPr="00B9682C">
              <w:rPr>
                <w:rFonts w:ascii="Times New Roman" w:eastAsia="Calibri" w:hAnsi="Times New Roman" w:cs="Times New Roman" w:hint="eastAsia"/>
                <w:kern w:val="0"/>
                <w:lang w:eastAsia="en-US" w:bidi="ar-SA"/>
              </w:rPr>
              <w:t>.</w:t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419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1985" w:type="dxa"/>
          </w:tcPr>
          <w:p w:rsidR="00635DE8" w:rsidRPr="00635DE8" w:rsidRDefault="00635DE8" w:rsidP="00B9682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0,0</w:t>
            </w:r>
          </w:p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635DE8" w:rsidRPr="00635DE8" w:rsidRDefault="00635DE8" w:rsidP="00B9682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0,0</w:t>
            </w:r>
          </w:p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35DE8" w:rsidRPr="00635DE8" w:rsidTr="00BA18CB">
        <w:tc>
          <w:tcPr>
            <w:tcW w:w="710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827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Подпрограмма 2. «Создание условий для реализации муниципальной программы»</w:t>
            </w:r>
          </w:p>
        </w:tc>
        <w:tc>
          <w:tcPr>
            <w:tcW w:w="1842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Ведущий специалист </w:t>
            </w:r>
            <w:r w:rsidR="00B9682C" w:rsidRPr="00B9682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Новикова О.С</w:t>
            </w:r>
            <w:r w:rsidR="00B9682C" w:rsidRPr="00B9682C">
              <w:rPr>
                <w:rFonts w:ascii="Times New Roman" w:eastAsia="Calibri" w:hAnsi="Times New Roman" w:cs="Times New Roman" w:hint="eastAsia"/>
                <w:kern w:val="0"/>
                <w:lang w:eastAsia="en-US" w:bidi="ar-SA"/>
              </w:rPr>
              <w:t>.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419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985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35DE8" w:rsidRPr="00635DE8" w:rsidTr="00BA18CB">
        <w:tc>
          <w:tcPr>
            <w:tcW w:w="710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827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Основное мероприятие 2.1 Реализация полномочий по управлению муниципальным имуществом</w:t>
            </w:r>
          </w:p>
        </w:tc>
        <w:tc>
          <w:tcPr>
            <w:tcW w:w="1842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Ведущий специалист </w:t>
            </w:r>
            <w:r w:rsidR="00B9682C" w:rsidRPr="00B9682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Новикова О.С</w:t>
            </w:r>
            <w:r w:rsidR="00B9682C" w:rsidRPr="00B9682C">
              <w:rPr>
                <w:rFonts w:ascii="Times New Roman" w:eastAsia="Calibri" w:hAnsi="Times New Roman" w:cs="Times New Roman" w:hint="eastAsia"/>
                <w:kern w:val="0"/>
                <w:lang w:eastAsia="en-US" w:bidi="ar-SA"/>
              </w:rPr>
              <w:t>.</w:t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419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1985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Подготовка к проведению мониторинга нормативно правовых актов в сфере управления и распоряжения муниципальным имуществом</w:t>
            </w: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br/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 течение 2022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года </w:t>
            </w:r>
            <w:proofErr w:type="gramStart"/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проведен</w:t>
            </w:r>
            <w:proofErr w:type="gramEnd"/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мониторинга</w:t>
            </w:r>
            <w:r w:rsidR="00635DE8" w:rsidRPr="00635DE8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нормативно правовых актов Администрации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Васильево-Ханжоно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вского 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сельского поселения в сфере управления и распоряжения муниципального имущества</w:t>
            </w:r>
            <w:r w:rsidR="00635DE8" w:rsidRPr="00635DE8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 xml:space="preserve">. 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Необходимость принятия (внесения изменений) в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нормативно правовые акты отсутствует.</w:t>
            </w:r>
          </w:p>
          <w:p w:rsidR="00635DE8" w:rsidRPr="00635DE8" w:rsidRDefault="00635DE8" w:rsidP="00635DE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</w:pPr>
          </w:p>
          <w:p w:rsidR="00635DE8" w:rsidRPr="00635DE8" w:rsidRDefault="00635DE8" w:rsidP="00635DE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35DE8" w:rsidRPr="00635DE8" w:rsidTr="00BA18CB">
        <w:tc>
          <w:tcPr>
            <w:tcW w:w="710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6</w:t>
            </w:r>
          </w:p>
        </w:tc>
        <w:tc>
          <w:tcPr>
            <w:tcW w:w="3827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Основное мероприятие 2.2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Совершенствование программного комплекса по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управлению имуществом  и земельными ресурсами</w:t>
            </w:r>
          </w:p>
        </w:tc>
        <w:tc>
          <w:tcPr>
            <w:tcW w:w="1842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Ведущий специалист </w:t>
            </w:r>
            <w:r w:rsidR="00391889" w:rsidRPr="00B9682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Новикова О.С</w:t>
            </w:r>
            <w:r w:rsidR="00391889" w:rsidRPr="00B9682C">
              <w:rPr>
                <w:rFonts w:ascii="Times New Roman" w:eastAsia="Calibri" w:hAnsi="Times New Roman" w:cs="Times New Roman" w:hint="eastAsia"/>
                <w:kern w:val="0"/>
                <w:lang w:eastAsia="en-US" w:bidi="ar-SA"/>
              </w:rPr>
              <w:t>.</w:t>
            </w:r>
          </w:p>
        </w:tc>
        <w:tc>
          <w:tcPr>
            <w:tcW w:w="1417" w:type="dxa"/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417" w:type="dxa"/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419" w:type="dxa"/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1985" w:type="dxa"/>
          </w:tcPr>
          <w:p w:rsidR="00635DE8" w:rsidRPr="00635DE8" w:rsidRDefault="00635DE8" w:rsidP="00391889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Проведение инвентаризации имущества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и земельных участков, расположенных на территории </w:t>
            </w:r>
            <w:r w:rsidR="0039188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Васильево-Ханжоновского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сельского поселения с целью выявления бесхозяйного имущества и вовлечения в оборот свободных земельных участков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В резу</w:t>
            </w:r>
            <w:r w:rsidR="0039188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льтате проведен</w:t>
            </w:r>
            <w:r w:rsidR="0039188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ной в 2022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году инвентаризации бесхозяйных объектов выявлено не было.</w:t>
            </w: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35DE8" w:rsidRPr="00635DE8" w:rsidTr="00BA18CB">
        <w:tc>
          <w:tcPr>
            <w:tcW w:w="10632" w:type="dxa"/>
            <w:gridSpan w:val="6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Итого по муниципальной программе</w:t>
            </w:r>
          </w:p>
        </w:tc>
        <w:tc>
          <w:tcPr>
            <w:tcW w:w="1985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1,0</w:t>
            </w:r>
          </w:p>
        </w:tc>
        <w:tc>
          <w:tcPr>
            <w:tcW w:w="1417" w:type="dxa"/>
          </w:tcPr>
          <w:p w:rsidR="00635DE8" w:rsidRPr="00635DE8" w:rsidRDefault="00391889" w:rsidP="00635DE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,0</w:t>
            </w: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635DE8" w:rsidRPr="00635DE8" w:rsidRDefault="005D1AF0" w:rsidP="00635DE8">
      <w:pPr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hyperlink w:anchor="Par1127" w:history="1">
        <w:r w:rsidR="00635DE8" w:rsidRPr="00635DE8">
          <w:rPr>
            <w:rFonts w:ascii="Times New Roman" w:eastAsia="Calibri" w:hAnsi="Times New Roman" w:cs="Times New Roman"/>
            <w:kern w:val="0"/>
            <w:lang w:eastAsia="en-US" w:bidi="ar-SA"/>
          </w:rPr>
          <w:t>&lt;1</w:t>
        </w:r>
        <w:proofErr w:type="gramStart"/>
        <w:r w:rsidR="00635DE8" w:rsidRPr="00635DE8">
          <w:rPr>
            <w:rFonts w:ascii="Times New Roman" w:eastAsia="Calibri" w:hAnsi="Times New Roman" w:cs="Times New Roman"/>
            <w:kern w:val="0"/>
            <w:lang w:eastAsia="en-US" w:bidi="ar-SA"/>
          </w:rPr>
          <w:t>&gt;</w:t>
        </w:r>
      </w:hyperlink>
      <w:r w:rsidR="00635DE8"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 В</w:t>
      </w:r>
      <w:proofErr w:type="gramEnd"/>
      <w:r w:rsidR="00635DE8"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35DE8" w:rsidRPr="00635DE8" w:rsidRDefault="00635DE8" w:rsidP="00635DE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sectPr w:rsidR="00635DE8" w:rsidRPr="00635DE8" w:rsidSect="00BA18CB">
          <w:pgSz w:w="16838" w:h="11906" w:orient="landscape"/>
          <w:pgMar w:top="1276" w:right="851" w:bottom="851" w:left="851" w:header="709" w:footer="709" w:gutter="0"/>
          <w:cols w:space="720"/>
          <w:docGrid w:linePitch="299"/>
        </w:sectPr>
      </w:pPr>
    </w:p>
    <w:p w:rsidR="00635DE8" w:rsidRPr="00635DE8" w:rsidRDefault="00635DE8" w:rsidP="00635DE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Приложение 2 </w:t>
      </w: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br/>
        <w:t xml:space="preserve">к отчету о реализации </w:t>
      </w: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br/>
        <w:t>муниципальной программы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 «Оформление права собственности </w:t>
      </w:r>
      <w:proofErr w:type="gramStart"/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>на</w:t>
      </w:r>
      <w:proofErr w:type="gramEnd"/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 муниципальное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 имущество и бесхозяйные объекты муниципального образования</w:t>
      </w:r>
    </w:p>
    <w:p w:rsidR="00635DE8" w:rsidRPr="00635DE8" w:rsidRDefault="00635DE8" w:rsidP="00635DE8">
      <w:pPr>
        <w:widowControl/>
        <w:suppressAutoHyphens w:val="0"/>
        <w:autoSpaceDN/>
        <w:spacing w:after="200"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 «</w:t>
      </w:r>
      <w:r w:rsidR="00391889">
        <w:rPr>
          <w:rFonts w:ascii="Times New Roman" w:eastAsia="Calibri" w:hAnsi="Times New Roman" w:cs="Times New Roman"/>
          <w:kern w:val="0"/>
          <w:lang w:eastAsia="en-US" w:bidi="ar-SA"/>
        </w:rPr>
        <w:t xml:space="preserve">Васильево-Ханжоновское </w:t>
      </w: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сельское поселение» </w:t>
      </w: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br/>
        <w:t>Таблица 12</w:t>
      </w:r>
    </w:p>
    <w:p w:rsidR="00635DE8" w:rsidRPr="00635DE8" w:rsidRDefault="00635DE8" w:rsidP="00635DE8">
      <w:pPr>
        <w:suppressAutoHyphens w:val="0"/>
        <w:autoSpaceDE w:val="0"/>
        <w:adjustRightInd w:val="0"/>
        <w:spacing w:after="200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СВЕДЕНИЯ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  <w:t xml:space="preserve">об использовании бюджетных ассигнований и внебюджетных средств на реализацию </w:t>
      </w:r>
      <w:r w:rsidR="003918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  <w:t>муниципальной программы за 2020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г.</w:t>
      </w: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552"/>
        <w:gridCol w:w="2410"/>
        <w:gridCol w:w="2409"/>
        <w:gridCol w:w="3544"/>
      </w:tblGrid>
      <w:tr w:rsidR="00635DE8" w:rsidRPr="00635DE8" w:rsidTr="00391889">
        <w:trPr>
          <w:trHeight w:val="305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Источники финансирования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Фактические  расходы (тыс. рублей),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&lt;1&gt;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635DE8" w:rsidRPr="00635DE8" w:rsidTr="00391889">
        <w:trPr>
          <w:trHeight w:val="117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муниципальной программой 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сводной бюджетной росписью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635DE8" w:rsidRPr="00635DE8" w:rsidRDefault="00635DE8" w:rsidP="00635DE8">
      <w:pPr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552"/>
        <w:gridCol w:w="2410"/>
        <w:gridCol w:w="2409"/>
        <w:gridCol w:w="3544"/>
      </w:tblGrid>
      <w:tr w:rsidR="00635DE8" w:rsidRPr="00635DE8" w:rsidTr="00391889">
        <w:trPr>
          <w:tblHeader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  <w:tr w:rsidR="00635DE8" w:rsidRPr="00635DE8" w:rsidTr="00391889">
        <w:trPr>
          <w:trHeight w:val="320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Муниципальная программа   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«Оформление права собственности на муниципальное имущество и бесхозяйные объекты муниципального образования «</w:t>
            </w:r>
            <w:r w:rsidR="00391889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Васильево-Ханжоновское</w:t>
            </w: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 xml:space="preserve"> сельское поселение»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635DE8"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</w:tr>
      <w:tr w:rsidR="00391889" w:rsidRPr="00635DE8" w:rsidTr="00391889">
        <w:trPr>
          <w:trHeight w:val="30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бюджет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</w:tr>
      <w:tr w:rsidR="00635DE8" w:rsidRPr="00635DE8" w:rsidTr="00391889">
        <w:trPr>
          <w:trHeight w:val="31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1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226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-</w:t>
            </w:r>
            <w:r w:rsidRPr="00635DE8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t xml:space="preserve"> областного </w:t>
            </w:r>
            <w:r w:rsidRPr="00635DE8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lastRenderedPageBreak/>
              <w:t>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111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391889" w:rsidRPr="00635DE8" w:rsidTr="00391889">
        <w:trPr>
          <w:trHeight w:val="320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Подпрограмма 1. </w:t>
            </w: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«Повышение эффективности управления муниципальным имуществом и приватизации»</w:t>
            </w: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</w:tr>
      <w:tr w:rsidR="00391889" w:rsidRPr="00635DE8" w:rsidTr="00391889">
        <w:trPr>
          <w:trHeight w:val="24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бюджет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</w:tr>
      <w:tr w:rsidR="00635DE8" w:rsidRPr="00635DE8" w:rsidTr="00391889">
        <w:trPr>
          <w:trHeight w:val="3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9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26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0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Основное мероприятие 1.1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«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lastRenderedPageBreak/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0,0</w:t>
            </w:r>
          </w:p>
        </w:tc>
      </w:tr>
      <w:tr w:rsidR="00635DE8" w:rsidRPr="00635DE8" w:rsidTr="00391889">
        <w:trPr>
          <w:trHeight w:val="24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бюджет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0,0</w:t>
            </w:r>
          </w:p>
        </w:tc>
      </w:tr>
      <w:tr w:rsidR="00635DE8" w:rsidRPr="00635DE8" w:rsidTr="00391889">
        <w:trPr>
          <w:trHeight w:val="3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- федерального </w:t>
            </w: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lastRenderedPageBreak/>
              <w:t>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9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26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Основное мероприятие 1.2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635DE8"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635DE8"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635DE8"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бюджет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635DE8"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635DE8"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Основное мероприятие 1.3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Оценка рыночной стоимости и годовой арендной платы объектов недвижимого и движимого имущества муниципальной собственности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бюджет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0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Подпрограмма 2. 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«Повышение эффективности управления муниципальным имуществом и приватизации»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Х</w:t>
            </w:r>
          </w:p>
        </w:tc>
      </w:tr>
      <w:tr w:rsidR="00635DE8" w:rsidRPr="00635DE8" w:rsidTr="00391889">
        <w:trPr>
          <w:trHeight w:val="24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бюджет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Х</w:t>
            </w:r>
          </w:p>
        </w:tc>
      </w:tr>
      <w:tr w:rsidR="00635DE8" w:rsidRPr="00635DE8" w:rsidTr="00391889">
        <w:trPr>
          <w:trHeight w:val="3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635DE8" w:rsidRPr="00635DE8" w:rsidTr="00391889">
        <w:trPr>
          <w:trHeight w:val="39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635DE8" w:rsidRPr="00635DE8" w:rsidTr="00391889">
        <w:trPr>
          <w:trHeight w:val="26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Основное мероприятие 2.1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  <w:t>Реализация полномочий по управлению муниципальным имуществом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финансовое обеспечение на реализацию данного мероприятия не предусматривается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финансовое обеспечение на реализацию данного мероприятия не предусматривается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финансовое обеспечение на реализацию данного мероприятия не предусматривается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бюджет поселения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 за счет средств: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федерального бюджета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областного бюджета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Основное мероприятие 2.2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  <w:t xml:space="preserve">Совершенствование программного комплекса по </w:t>
            </w:r>
            <w:r w:rsidRPr="00635DE8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  <w:lastRenderedPageBreak/>
              <w:t>управлению имуществом  и земельными ресурсами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 xml:space="preserve">финансовое обеспечение на реализацию </w:t>
            </w: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lastRenderedPageBreak/>
              <w:t>данного мероприятия не предусматривается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lastRenderedPageBreak/>
              <w:t xml:space="preserve">финансовое обеспечение на реализацию </w:t>
            </w: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lastRenderedPageBreak/>
              <w:t>данного мероприятия не предусматривается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lastRenderedPageBreak/>
              <w:t xml:space="preserve">финансовое обеспечение на реализацию данного мероприятия не </w:t>
            </w: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lastRenderedPageBreak/>
              <w:t>предусматривается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бюджет поселения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в том числе за счет </w:t>
            </w: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средств: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федерального бюджета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областного бюджета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635DE8" w:rsidRPr="00635DE8" w:rsidRDefault="00635DE8" w:rsidP="00635DE8">
      <w:pPr>
        <w:suppressAutoHyphens w:val="0"/>
        <w:autoSpaceDE w:val="0"/>
        <w:adjustRightInd w:val="0"/>
        <w:spacing w:after="200" w:line="276" w:lineRule="auto"/>
        <w:ind w:right="422"/>
        <w:jc w:val="both"/>
        <w:textAlignment w:val="auto"/>
        <w:outlineLvl w:val="2"/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sectPr w:rsidR="00635DE8" w:rsidRPr="00635DE8" w:rsidSect="00391889">
          <w:pgSz w:w="16838" w:h="11906" w:orient="landscape"/>
          <w:pgMar w:top="1276" w:right="851" w:bottom="851" w:left="851" w:header="709" w:footer="709" w:gutter="0"/>
          <w:cols w:space="720"/>
          <w:docGrid w:linePitch="299"/>
        </w:sectPr>
      </w:pPr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t>&lt;1</w:t>
      </w:r>
      <w:proofErr w:type="gramStart"/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t>&gt; В</w:t>
      </w:r>
      <w:proofErr w:type="gramEnd"/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t xml:space="preserve"> соответствии с бюджетной отчетностью на 1 января текущего финансового года.</w:t>
      </w:r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br/>
        <w:t xml:space="preserve">&lt;2&gt; </w:t>
      </w:r>
      <w:r w:rsidRPr="00635DE8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>Включается в приложение при наличии средств.</w:t>
      </w:r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br/>
      </w:r>
      <w:hyperlink r:id="rId13" w:anchor="Par1127" w:history="1">
        <w:r w:rsidRPr="00635DE8">
          <w:rPr>
            <w:rFonts w:ascii="Times New Roman" w:eastAsia="Calibri" w:hAnsi="Times New Roman" w:cs="Times New Roman"/>
            <w:bCs/>
            <w:color w:val="000000"/>
            <w:kern w:val="0"/>
            <w:sz w:val="16"/>
            <w:szCs w:val="16"/>
            <w:u w:val="single"/>
            <w:lang w:eastAsia="en-US" w:bidi="ar-SA"/>
          </w:rPr>
          <w:t>&lt;3&gt;</w:t>
        </w:r>
      </w:hyperlink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br/>
      </w:r>
      <w:hyperlink r:id="rId14" w:anchor="Par1127" w:history="1">
        <w:r w:rsidRPr="00635DE8">
          <w:rPr>
            <w:rFonts w:ascii="Times New Roman" w:eastAsia="Calibri" w:hAnsi="Times New Roman" w:cs="Times New Roman"/>
            <w:bCs/>
            <w:color w:val="000000"/>
            <w:kern w:val="0"/>
            <w:sz w:val="16"/>
            <w:szCs w:val="16"/>
            <w:u w:val="single"/>
            <w:lang w:eastAsia="en-US" w:bidi="ar-SA"/>
          </w:rPr>
          <w:t>&lt;4&gt;</w:t>
        </w:r>
      </w:hyperlink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Pr="00635DE8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 муниципальная программа – МП, основное мероприятие  – ОМ, приоритетное основное мероприятие – ПОМ.</w:t>
      </w:r>
    </w:p>
    <w:p w:rsidR="00635DE8" w:rsidRPr="00635DE8" w:rsidRDefault="00635DE8" w:rsidP="00635DE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Приложение 3 </w:t>
      </w: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 xml:space="preserve">к отчету о реализации </w:t>
      </w: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 xml:space="preserve">муниципальной программы «Оформление права собственности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на</w:t>
      </w:r>
      <w:proofErr w:type="gramEnd"/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муниципальное имущество и бесхозяйные объекты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муниципального</w:t>
      </w:r>
      <w:proofErr w:type="gramEnd"/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образования «Федоровское сельское поселение» </w:t>
      </w: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>Таблица 13</w:t>
      </w:r>
    </w:p>
    <w:p w:rsidR="00635DE8" w:rsidRPr="00635DE8" w:rsidRDefault="00635DE8" w:rsidP="00635DE8">
      <w:pPr>
        <w:shd w:val="clear" w:color="auto" w:fill="FFFFFF"/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bookmarkStart w:id="0" w:name="Par1422"/>
      <w:bookmarkEnd w:id="0"/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>СВЕДЕНИЯ</w:t>
      </w: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br/>
        <w:t>о достижении значений показателей</w:t>
      </w: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635DE8" w:rsidRPr="00635DE8" w:rsidTr="00BA18C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№ </w:t>
            </w:r>
            <w:proofErr w:type="gramStart"/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</w:t>
            </w:r>
            <w:proofErr w:type="gramEnd"/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Номер и наименование </w:t>
            </w:r>
          </w:p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Единица</w:t>
            </w:r>
          </w:p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Обоснование отклонений  значений показателя на конец   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 xml:space="preserve"> отчетного года (при наличии)</w:t>
            </w:r>
          </w:p>
        </w:tc>
      </w:tr>
      <w:tr w:rsidR="00635DE8" w:rsidRPr="00635DE8" w:rsidTr="00BA18C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год,</w:t>
            </w:r>
          </w:p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предшествующий 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 xml:space="preserve">отчетному </w:t>
            </w:r>
            <w:hyperlink w:anchor="Par1462" w:history="1">
              <w:r w:rsidRPr="00635DE8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ru-RU" w:bidi="ar-SA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635DE8" w:rsidRPr="00635DE8" w:rsidTr="00BA18C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635DE8" w:rsidRPr="00635DE8" w:rsidTr="00BA18C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</w:tr>
      <w:tr w:rsidR="00635DE8" w:rsidRPr="00635DE8" w:rsidTr="00BA18CB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Муниципальная программа «Оформление права собственности на муниципальное имущество и бесхозяйные объекты муниципального образования «Федоровское сельское поселение» </w:t>
            </w:r>
          </w:p>
        </w:tc>
      </w:tr>
      <w:tr w:rsidR="00635DE8" w:rsidRPr="00635DE8" w:rsidTr="00BA18C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Подпрограмма 1 «Повышение эффективности управления муниципальным имуществом и приватизации </w:t>
            </w:r>
          </w:p>
        </w:tc>
      </w:tr>
      <w:tr w:rsidR="00635DE8" w:rsidRPr="00635DE8" w:rsidTr="00BA18C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997E54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97E5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997E54" w:rsidRDefault="00997E54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97E5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10,0</w:t>
            </w:r>
            <w:bookmarkStart w:id="1" w:name="_GoBack"/>
            <w:bookmarkEnd w:id="1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997E54" w:rsidRDefault="00997E54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97E5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Был реализован в полном объеме, так как увеличили долю отмежеванных объектов</w:t>
            </w:r>
          </w:p>
        </w:tc>
      </w:tr>
      <w:tr w:rsidR="00635DE8" w:rsidRPr="00635DE8" w:rsidTr="00BA18C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1.3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Оценка рыночной стоимости и годовой арендной платы объектов недвижимого и 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Шт.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5D1AF0" w:rsidRDefault="005D1AF0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D1AF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5D1AF0" w:rsidRDefault="005D1AF0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D1AF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  <w:r w:rsidR="00635DE8" w:rsidRPr="005D1AF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5D1AF0" w:rsidRDefault="005D1AF0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D1AF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  <w:r w:rsidR="00635DE8" w:rsidRPr="005D1AF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Был реализован в полном объеме, так как увеличили долю оценённого имущества</w:t>
            </w:r>
          </w:p>
        </w:tc>
      </w:tr>
    </w:tbl>
    <w:p w:rsidR="00635DE8" w:rsidRPr="00635DE8" w:rsidRDefault="00635DE8" w:rsidP="00635DE8">
      <w:pPr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  <w:bookmarkStart w:id="2" w:name="Par1462"/>
      <w:bookmarkEnd w:id="2"/>
    </w:p>
    <w:p w:rsidR="00635DE8" w:rsidRPr="00635DE8" w:rsidRDefault="00635DE8" w:rsidP="00635DE8">
      <w:pPr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&lt;1</w:t>
      </w:r>
      <w:proofErr w:type="gramStart"/>
      <w:r w:rsidRPr="00635D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&gt;  П</w:t>
      </w:r>
      <w:proofErr w:type="gramEnd"/>
      <w:r w:rsidRPr="00635D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риводится фактическое значение показателя за год, предшествующий отчетному.</w:t>
      </w: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06E07AA9"/>
    <w:multiLevelType w:val="hybridMultilevel"/>
    <w:tmpl w:val="D354E620"/>
    <w:lvl w:ilvl="0" w:tplc="1A966C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2FB2B1A"/>
    <w:multiLevelType w:val="hybridMultilevel"/>
    <w:tmpl w:val="56789612"/>
    <w:lvl w:ilvl="0" w:tplc="0FB26C8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5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16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9"/>
  </w:num>
  <w:num w:numId="14">
    <w:abstractNumId w:val="15"/>
  </w:num>
  <w:num w:numId="15">
    <w:abstractNumId w:val="4"/>
  </w:num>
  <w:num w:numId="16">
    <w:abstractNumId w:val="18"/>
  </w:num>
  <w:num w:numId="17">
    <w:abstractNumId w:val="14"/>
  </w:num>
  <w:num w:numId="18">
    <w:abstractNumId w:val="3"/>
  </w:num>
  <w:num w:numId="19">
    <w:abstractNumId w:val="1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94354"/>
    <w:rsid w:val="000C4567"/>
    <w:rsid w:val="000D3CB1"/>
    <w:rsid w:val="000E0166"/>
    <w:rsid w:val="000E2EF0"/>
    <w:rsid w:val="000E6376"/>
    <w:rsid w:val="000F1E0D"/>
    <w:rsid w:val="00124C1B"/>
    <w:rsid w:val="0015192B"/>
    <w:rsid w:val="001547A8"/>
    <w:rsid w:val="00166CF9"/>
    <w:rsid w:val="001A393A"/>
    <w:rsid w:val="00252925"/>
    <w:rsid w:val="00260F30"/>
    <w:rsid w:val="002772EC"/>
    <w:rsid w:val="002A2AAC"/>
    <w:rsid w:val="002B7B35"/>
    <w:rsid w:val="002D715A"/>
    <w:rsid w:val="002F4EFD"/>
    <w:rsid w:val="00303B47"/>
    <w:rsid w:val="003113CD"/>
    <w:rsid w:val="00390E46"/>
    <w:rsid w:val="00391889"/>
    <w:rsid w:val="00394D1F"/>
    <w:rsid w:val="00406702"/>
    <w:rsid w:val="004202AB"/>
    <w:rsid w:val="00433140"/>
    <w:rsid w:val="00442DA9"/>
    <w:rsid w:val="004A4A13"/>
    <w:rsid w:val="004E2ACA"/>
    <w:rsid w:val="005414C9"/>
    <w:rsid w:val="00557560"/>
    <w:rsid w:val="0056339F"/>
    <w:rsid w:val="005D1AF0"/>
    <w:rsid w:val="005D558E"/>
    <w:rsid w:val="00620D96"/>
    <w:rsid w:val="0063454F"/>
    <w:rsid w:val="00635DE8"/>
    <w:rsid w:val="0067410C"/>
    <w:rsid w:val="006A6F49"/>
    <w:rsid w:val="006B166F"/>
    <w:rsid w:val="006D5645"/>
    <w:rsid w:val="006E0D0E"/>
    <w:rsid w:val="007239BD"/>
    <w:rsid w:val="00735357"/>
    <w:rsid w:val="007A6B9C"/>
    <w:rsid w:val="007B1BE4"/>
    <w:rsid w:val="007C5903"/>
    <w:rsid w:val="008223C8"/>
    <w:rsid w:val="009101BE"/>
    <w:rsid w:val="00937C2F"/>
    <w:rsid w:val="00946499"/>
    <w:rsid w:val="009642AC"/>
    <w:rsid w:val="00997E54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52723"/>
    <w:rsid w:val="00B9682C"/>
    <w:rsid w:val="00B974B1"/>
    <w:rsid w:val="00BA18CB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F7CC1"/>
    <w:rsid w:val="00D1619E"/>
    <w:rsid w:val="00D53B8E"/>
    <w:rsid w:val="00D65B36"/>
    <w:rsid w:val="00E17D31"/>
    <w:rsid w:val="00E45138"/>
    <w:rsid w:val="00E52B57"/>
    <w:rsid w:val="00EB2ED6"/>
    <w:rsid w:val="00F22D80"/>
    <w:rsid w:val="00F307E2"/>
    <w:rsid w:val="00F43ECE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997E5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Downloads/&#1054;&#1090;&#1095;&#1077;&#1090;%20&#1087;&#1086;%20&#1087;&#1088;&#1086;&#1075;&#1088;&#1072;&#1084;&#1084;&#1077;%20&#1088;&#1072;&#1079;&#1074;&#1080;&#1090;&#1080;&#1077;%20&#1084;&#1091;&#1085;&#1080;&#1094;&#1080;&#1087;&#1072;&#1083;&#1100;&#1085;&#1086;&#1081;%20&#1089;&#1083;&#1091;&#1078;&#1073;&#1099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../Downloads/&#1054;&#1090;&#1095;&#1077;&#1090;%20&#1087;&#1086;%20&#1087;&#1088;&#1086;&#1075;&#1088;&#1072;&#1084;&#1084;&#1077;%20&#1088;&#1072;&#1079;&#1074;&#1080;&#1090;&#1080;&#1077;%20&#1084;&#1091;&#1085;&#1080;&#1094;&#1080;&#1087;&#1072;&#1083;&#1100;&#1085;&#1086;&#1081;%20&#1089;&#1083;&#1091;&#1078;&#1073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1E0A-B256-4E91-94C6-DD105ABF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19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46</cp:revision>
  <cp:lastPrinted>2023-02-07T06:37:00Z</cp:lastPrinted>
  <dcterms:created xsi:type="dcterms:W3CDTF">2018-10-11T10:51:00Z</dcterms:created>
  <dcterms:modified xsi:type="dcterms:W3CDTF">2023-02-08T11:59:00Z</dcterms:modified>
</cp:coreProperties>
</file>