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95783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FF19FC" w:rsidRPr="00FF19FC">
        <w:rPr>
          <w:rFonts w:hint="eastAsia"/>
          <w:b/>
          <w:sz w:val="28"/>
        </w:rPr>
        <w:t>Формирование городской среды на территории Васильево-Ханжоновского сельского поселения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proofErr w:type="gramStart"/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  <w:proofErr w:type="gramEnd"/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FF19FC" w:rsidRPr="00FF19F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Формирование городской среды на территории Васильево-Ханжоновского сельского поселения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F19FC" w:rsidRPr="00FF19FC" w:rsidRDefault="00FF19FC" w:rsidP="00FF19F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FF19FC" w:rsidRPr="00FF19FC" w:rsidRDefault="00F417B7" w:rsidP="00FF19FC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2022</w:t>
      </w:r>
      <w:r w:rsidR="00FF19FC"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F417B7" w:rsidRPr="00F417B7">
        <w:rPr>
          <w:rFonts w:ascii="Times New Roman" w:eastAsia="Calibri" w:hAnsi="Times New Roman" w:cs="Times New Roman"/>
          <w:kern w:val="0"/>
          <w:lang w:eastAsia="en-US" w:bidi="ar-SA"/>
        </w:rPr>
        <w:t>Формирование городской среды на территории Васильево-Ханжоновского сельского поселения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FF19FC" w:rsidRPr="00FF19FC" w:rsidRDefault="00F417B7" w:rsidP="00FF19FC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2022</w:t>
      </w:r>
      <w:r w:rsidR="00FF19FC"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F19FC" w:rsidRPr="00FF19FC" w:rsidRDefault="00FF19FC" w:rsidP="00FF19FC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 соответствии с Перечнем муниципальных программ </w:t>
      </w:r>
      <w:r w:rsidR="00F417B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утвержденным постановлением Администрации  </w:t>
      </w:r>
      <w:r w:rsidR="00F417B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сельского поселения от</w:t>
      </w:r>
      <w:r w:rsidR="00F417B7" w:rsidRPr="00F417B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01.11.2018 № 62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 w:rsidR="00F417B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="006D18B0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Pr="006D18B0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6D18B0" w:rsidRPr="006D18B0">
        <w:rPr>
          <w:rFonts w:ascii="Times New Roman" w:eastAsia="Calibri" w:hAnsi="Times New Roman" w:cs="Times New Roman"/>
          <w:kern w:val="0"/>
          <w:lang w:eastAsia="en-US" w:bidi="ar-SA"/>
        </w:rPr>
        <w:t>Формирование городской среды на территории Васильево-Ханжоновского сельского поселения</w:t>
      </w:r>
      <w:r w:rsidRPr="006D18B0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(далее – муниципальная программа).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6D18B0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6D18B0">
        <w:rPr>
          <w:rFonts w:ascii="Times New Roman" w:eastAsia="Times New Roman" w:hAnsi="Times New Roman" w:cs="Times New Roman"/>
          <w:kern w:val="0"/>
          <w:lang w:eastAsia="ru-RU" w:bidi="ar-SA"/>
        </w:rPr>
        <w:t>09.01.2019 № 3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FF19FC" w:rsidRPr="00FF19FC" w:rsidRDefault="00FF19FC" w:rsidP="006D18B0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6D18B0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6D18B0">
        <w:rPr>
          <w:rFonts w:ascii="Times New Roman" w:eastAsia="Times New Roman" w:hAnsi="Times New Roman" w:cs="Times New Roman"/>
          <w:kern w:val="0"/>
          <w:lang w:eastAsia="ru-RU" w:bidi="ar-SA"/>
        </w:rPr>
        <w:t>19.01.2022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12 утвержден план реализации</w:t>
      </w:r>
      <w:r w:rsidR="006D18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на 2022 год.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FF19FC" w:rsidRPr="00FF19FC" w:rsidRDefault="00FF19FC" w:rsidP="00FF19FC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Подпрограмма 1 – </w:t>
      </w:r>
      <w:bookmarkStart w:id="0" w:name="_Hlk2165916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0"/>
      <w:r w:rsidR="006D18B0" w:rsidRPr="006D18B0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Создание благоприятных условий для проживания и отдыха населения</w:t>
      </w:r>
      <w:r w:rsidR="006D18B0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6D18B0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09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r w:rsidR="006D18B0">
        <w:rPr>
          <w:rFonts w:ascii="Times New Roman" w:eastAsia="Times New Roman" w:hAnsi="Times New Roman" w:cs="Times New Roman"/>
          <w:bCs/>
          <w:kern w:val="0"/>
          <w:lang w:eastAsia="en-US" w:bidi="ar-SA"/>
        </w:rPr>
        <w:t>01.2019 № 3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6D18B0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19.01.2022 № 12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 утвержден план реализации</w:t>
      </w:r>
      <w:r w:rsidR="006D18B0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муниципальной программы на 2022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6D18B0" w:rsidRPr="006D18B0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Создание благоприятных условий для проживания и отдыха населения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 (далее – подпрограмма 1)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6D18B0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2022</w:t>
      </w:r>
      <w:r w:rsidR="000C36D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10,0 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тыс. рублей.</w:t>
      </w:r>
      <w:bookmarkStart w:id="1" w:name="_Hlk2328722"/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</w:t>
      </w:r>
      <w:bookmarkStart w:id="2" w:name="_Hlk3196069"/>
      <w:r w:rsidR="000C36D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 состоянию на 01.01.2023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фактическое о</w:t>
      </w:r>
      <w:r w:rsidR="000C36DC">
        <w:rPr>
          <w:rFonts w:ascii="Times New Roman" w:eastAsia="Times New Roman" w:hAnsi="Times New Roman" w:cs="Times New Roman"/>
          <w:bCs/>
          <w:kern w:val="0"/>
          <w:lang w:eastAsia="en-US" w:bidi="ar-SA"/>
        </w:rPr>
        <w:t>своение средств составило 7,4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 </w:t>
      </w:r>
      <w:bookmarkEnd w:id="1"/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Основные мероприятия подпрогра</w:t>
      </w:r>
      <w:r w:rsidR="000C36D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1 реализуются в течение 2022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на постоянной основе. </w:t>
      </w:r>
    </w:p>
    <w:bookmarkEnd w:id="2"/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выполнении основных мероприятий муниципальной программы приведены в приложении №1 к отчету о реализации муниципальной программы (форма таблицы 11 к Методическим рекомендациям).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ю муниципальной программы в 2022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10,0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 года составило 7,4 тыс. рублей, или 74,0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7,4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-средства областного бюджета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-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0,0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представлены в приложении №2 к отчету о реализации муниципальной программы (форма таблицы 12 к Методическим рекомендациям).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 за 2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022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FF19FC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0C36DC" w:rsidRPr="000C36DC">
        <w:rPr>
          <w:rFonts w:ascii="Times New Roman" w:eastAsia="Calibri" w:hAnsi="Times New Roman" w:cs="Times New Roman"/>
          <w:kern w:val="0"/>
          <w:lang w:eastAsia="en-US" w:bidi="ar-SA"/>
        </w:rPr>
        <w:t>Формирование городской среды на территории Васильево-Ханжоновского сельского поселения</w:t>
      </w:r>
      <w:r w:rsidRPr="00FF19F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Pr="00FF19FC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предусмотрено 3 показателя (индикатора)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подпрограммой «</w:t>
      </w:r>
      <w:r w:rsidR="000C36DC" w:rsidRPr="000C36DC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Создание благоприятных условий для проживания и отдыха населения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 1 показатель (индикатор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). </w:t>
      </w:r>
      <w:r w:rsidR="000C36D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Из 3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показателей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по 3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фактические значения соответствуют </w:t>
      </w:r>
      <w:proofErr w:type="gram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FF19FC" w:rsidRPr="000C36DC" w:rsidRDefault="00FF19FC" w:rsidP="00FF19FC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муниципальной программе </w:t>
      </w:r>
      <w:r w:rsidRPr="00FF19FC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0C36DC" w:rsidRPr="000C36DC">
        <w:rPr>
          <w:rFonts w:ascii="Times New Roman" w:eastAsia="Calibri" w:hAnsi="Times New Roman" w:cs="Times New Roman"/>
          <w:kern w:val="0"/>
          <w:lang w:eastAsia="en-US" w:bidi="ar-SA"/>
        </w:rPr>
        <w:t>Формирование городской среды на территории Васильево-Ханжоновского сельского поселения</w:t>
      </w:r>
      <w:r w:rsidRPr="000C36D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Pr="000C36DC">
        <w:rPr>
          <w:rFonts w:ascii="Times New Roman" w:eastAsia="Times New Roman" w:hAnsi="Times New Roman" w:cs="Times New Roman"/>
          <w:kern w:val="0"/>
          <w:lang w:eastAsia="en-US" w:bidi="ar-SA"/>
        </w:rPr>
        <w:t>:</w:t>
      </w:r>
    </w:p>
    <w:p w:rsidR="00FF19FC" w:rsidRPr="00FF19FC" w:rsidRDefault="00FF19FC" w:rsidP="00FF19FC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По подпрограмме 1 «</w:t>
      </w:r>
      <w:r w:rsidR="000C36DC" w:rsidRPr="000C36DC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Создание благоприятных условий для проживания и отдыха населения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»:</w:t>
      </w:r>
    </w:p>
    <w:p w:rsidR="000C36DC" w:rsidRPr="000C36DC" w:rsidRDefault="000C36DC" w:rsidP="000C36DC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Показатель 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0C36DC">
        <w:rPr>
          <w:rFonts w:ascii="Times New Roman" w:eastAsia="Times New Roman" w:hAnsi="Times New Roman" w:cs="Times New Roman" w:hint="eastAsia"/>
          <w:kern w:val="0"/>
          <w:lang w:eastAsia="en-US" w:bidi="ar-SA"/>
        </w:rPr>
        <w:t>1.</w:t>
      </w:r>
      <w:r w:rsidRPr="000C36DC">
        <w:rPr>
          <w:rFonts w:ascii="Times New Roman" w:eastAsia="Times New Roman" w:hAnsi="Times New Roman" w:cs="Times New Roman" w:hint="eastAsia"/>
          <w:kern w:val="0"/>
          <w:lang w:eastAsia="en-US" w:bidi="ar-SA"/>
        </w:rPr>
        <w:tab/>
        <w:t>Доля благоустроенных территорий общего пользования населения от общего количества таких территорий</w:t>
      </w:r>
    </w:p>
    <w:p w:rsidR="000C36DC" w:rsidRPr="000C36DC" w:rsidRDefault="000C36DC" w:rsidP="000C36DC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Показатель </w:t>
      </w:r>
      <w:r w:rsidRPr="000C36DC">
        <w:rPr>
          <w:rFonts w:ascii="Times New Roman" w:eastAsia="Times New Roman" w:hAnsi="Times New Roman" w:cs="Times New Roman" w:hint="eastAsia"/>
          <w:kern w:val="0"/>
          <w:lang w:eastAsia="en-US" w:bidi="ar-SA"/>
        </w:rPr>
        <w:t>2.</w:t>
      </w:r>
      <w:r w:rsidRPr="000C36DC">
        <w:rPr>
          <w:rFonts w:ascii="Times New Roman" w:eastAsia="Times New Roman" w:hAnsi="Times New Roman" w:cs="Times New Roman" w:hint="eastAsia"/>
          <w:kern w:val="0"/>
          <w:lang w:eastAsia="en-US" w:bidi="ar-SA"/>
        </w:rPr>
        <w:tab/>
        <w:t>Количество установленных уличных осветительных приборов на территориях общего пользования населения</w:t>
      </w:r>
    </w:p>
    <w:p w:rsidR="00FF19FC" w:rsidRPr="00FF19FC" w:rsidRDefault="000C36DC" w:rsidP="000C36DC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Показатель </w:t>
      </w:r>
      <w:r w:rsidRPr="000C36DC">
        <w:rPr>
          <w:rFonts w:ascii="Times New Roman" w:eastAsia="Times New Roman" w:hAnsi="Times New Roman" w:cs="Times New Roman" w:hint="eastAsia"/>
          <w:kern w:val="0"/>
          <w:lang w:eastAsia="en-US" w:bidi="ar-SA"/>
        </w:rPr>
        <w:t>3.</w:t>
      </w:r>
      <w:r w:rsidRPr="000C36DC">
        <w:rPr>
          <w:rFonts w:ascii="Times New Roman" w:eastAsia="Times New Roman" w:hAnsi="Times New Roman" w:cs="Times New Roman" w:hint="eastAsia"/>
          <w:kern w:val="0"/>
          <w:lang w:eastAsia="en-US" w:bidi="ar-SA"/>
        </w:rPr>
        <w:tab/>
        <w:t>Охват населения благоустроенными территориями общего пользования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09.01.2019 № 3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202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д и на плановый период 2023 и 2024 годов» от 27.12.2021 № 20 в течение 2022 года принято 1 постановление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нений в муниципальную программу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</w:t>
      </w:r>
      <w:proofErr w:type="gram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29.09.2022 № 36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0C36DC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7. Сведения о результатах оценки бюджетной 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эффективности муниципальной программы</w:t>
      </w:r>
    </w:p>
    <w:p w:rsidR="00FF19FC" w:rsidRPr="00FF19FC" w:rsidRDefault="00FF19FC" w:rsidP="00FF19F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подпрограмм муниципальной программы;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- Программа: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1: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1: 20 / 50= 2,5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2: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2: 1 / 1 = 1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0B202A4B" wp14:editId="6C032A2D">
            <wp:extent cx="828675" cy="609600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2,5 + 1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1,75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ab/>
        <w:t>2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4/ 4 = 1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Зф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DA4770">
        <w:rPr>
          <w:rFonts w:ascii="Times New Roman" w:eastAsia="Times New Roman" w:hAnsi="Times New Roman" w:cs="Times New Roman"/>
          <w:kern w:val="0"/>
          <w:lang w:eastAsia="en-US" w:bidi="ar-SA"/>
        </w:rPr>
        <w:t>7,4 / 10,0 = 0,74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5076039F" wp14:editId="5A75CD97">
            <wp:extent cx="1562100" cy="333375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745D0A18" wp14:editId="30593EAB">
            <wp:extent cx="333375" cy="323850"/>
            <wp:effectExtent l="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6AC5FB03" wp14:editId="483B9A93">
            <wp:extent cx="428625" cy="304800"/>
            <wp:effectExtent l="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31A5D63D" wp14:editId="4218BE06">
            <wp:extent cx="476250" cy="33337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поселения.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4A3EBA2E" wp14:editId="637953EB">
            <wp:extent cx="333375" cy="323850"/>
            <wp:effectExtent l="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 / 1 = 1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= 1,75 х 0,5 + 1 х 0,3 + 1 х 0,2 = 1,375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FF19FC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FF19FC" w:rsidRPr="00FF19FC" w:rsidRDefault="00FF19FC" w:rsidP="00FF19F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8. Результаты реализации мер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FF19FC" w:rsidRPr="00FF19FC" w:rsidRDefault="00FF19FC" w:rsidP="00FF19F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DA4770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DA4770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3" w:name="_Hlk3203991"/>
      <w:bookmarkStart w:id="4" w:name="_Hlk3197980"/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3"/>
      <w:r w:rsidRPr="00FF19FC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DA4770">
        <w:rPr>
          <w:rFonts w:ascii="Times New Roman" w:eastAsia="Calibri" w:hAnsi="Times New Roman" w:cs="Times New Roman"/>
          <w:kern w:val="0"/>
          <w:lang w:eastAsia="en-US" w:bidi="ar-SA"/>
        </w:rPr>
        <w:t>Формирование городской среды на территории Васильево-Ханжоновского сельского поселения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4"/>
      <w:r w:rsidR="00DA4770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FF19FC" w:rsidRPr="00FF19FC" w:rsidRDefault="00DA4770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 года было внесено 1 изменение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09.01.2019 № 3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 w:rsidRPr="00DA4770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 утверждении  муниципальной  программы  Васильево-Ханжоновского   сельского   поселения   «Формирование городской среды на территории Васильево-Ханжоновского сельского поселения»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».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9. Предложения по дальнейшей реализации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FF19FC" w:rsidRPr="00FF19FC">
          <w:pgSz w:w="11906" w:h="16838"/>
          <w:pgMar w:top="709" w:right="851" w:bottom="340" w:left="284" w:header="720" w:footer="720" w:gutter="284"/>
          <w:cols w:space="720"/>
        </w:sectPr>
      </w:pPr>
    </w:p>
    <w:p w:rsidR="00FF19FC" w:rsidRPr="00FF19FC" w:rsidRDefault="00FF19FC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Приложение № 1</w:t>
      </w:r>
    </w:p>
    <w:p w:rsidR="00FF19FC" w:rsidRPr="00FF19FC" w:rsidRDefault="00F070C5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FF19FC" w:rsidRPr="00FF19FC" w:rsidRDefault="00F070C5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F070C5" w:rsidRPr="00F070C5" w:rsidRDefault="00FF19FC" w:rsidP="00F070C5">
      <w:pPr>
        <w:jc w:val="righ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F070C5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F070C5" w:rsidRPr="00F070C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Формирование  городской среды  на территории </w:t>
      </w:r>
    </w:p>
    <w:p w:rsidR="00FF19FC" w:rsidRPr="00FF19FC" w:rsidRDefault="00F070C5" w:rsidP="00F070C5">
      <w:pPr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070C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 сельского поселения</w:t>
      </w:r>
      <w:r w:rsidR="00FF19FC" w:rsidRPr="00FF19F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FF19FC" w:rsidRPr="00FF19FC" w:rsidRDefault="00FF19FC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Таблица 11</w:t>
      </w:r>
    </w:p>
    <w:p w:rsidR="00FF19FC" w:rsidRPr="00FF19FC" w:rsidRDefault="00FF19FC" w:rsidP="00FF19FC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СВЕДЕНИЯ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о выполнении основных мероприятий, приоритетных основных мероприятий, а также контрольных событий муниципальной программы</w:t>
      </w:r>
    </w:p>
    <w:p w:rsidR="00FF19FC" w:rsidRPr="00FF19FC" w:rsidRDefault="00F070C5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за 2022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58"/>
        <w:gridCol w:w="1637"/>
        <w:gridCol w:w="1637"/>
        <w:gridCol w:w="1637"/>
        <w:gridCol w:w="2303"/>
        <w:gridCol w:w="1843"/>
        <w:gridCol w:w="1863"/>
      </w:tblGrid>
      <w:tr w:rsidR="00FF19FC" w:rsidRPr="00FF19FC" w:rsidTr="00FF19F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</w:t>
            </w:r>
            <w:proofErr w:type="gramEnd"/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Номер и наименование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Фактический срок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Результаты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Причины не реализации/реализации не в полном объеме</w:t>
            </w:r>
          </w:p>
        </w:tc>
      </w:tr>
      <w:tr w:rsidR="00FF19FC" w:rsidRPr="00FF19FC" w:rsidTr="00FF19FC">
        <w:trPr>
          <w:trHeight w:val="9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Достигнутые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F19FC" w:rsidRPr="00FF19FC" w:rsidTr="00FF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1 «</w:t>
            </w:r>
            <w:r w:rsidR="00F070C5" w:rsidRPr="00F070C5">
              <w:rPr>
                <w:rFonts w:ascii="Times New Roman" w:eastAsia="Times New Roman" w:hAnsi="Times New Roman" w:cs="Times New Roman" w:hint="eastAsia"/>
                <w:bCs/>
                <w:kern w:val="0"/>
                <w:lang w:eastAsia="en-US" w:bidi="ar-SA"/>
              </w:rPr>
              <w:t>Создание благоприятных условий для проживания и отдыха населения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070C5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070C5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070C5" w:rsidP="00F070C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CA41F7" w:rsidRPr="00FF19FC" w:rsidTr="00FF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2</w:t>
            </w:r>
          </w:p>
          <w:p w:rsidR="00CA41F7" w:rsidRPr="00FF19FC" w:rsidRDefault="00CA41F7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1.1. </w:t>
            </w:r>
            <w:r w:rsidRPr="00CA41F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Благоустройство территорий общего пользования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01.01.2021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31.12.2021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7" w:rsidRPr="00FF19FC" w:rsidRDefault="00CA41F7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  <w:p w:rsidR="00CA41F7" w:rsidRPr="00FF19FC" w:rsidRDefault="00CA41F7" w:rsidP="00CA41F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A41F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Приведение территорий для отдыха населения в соответствие с Правилами благоустройства</w:t>
            </w:r>
            <w:r w:rsidRPr="00CA41F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Default="00CA41F7" w:rsidP="00CA41F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  <w:p w:rsidR="00CA41F7" w:rsidRPr="00FF19FC" w:rsidRDefault="00CA41F7" w:rsidP="00F070C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A41F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7" w:rsidRPr="00FF19FC" w:rsidRDefault="00CA41F7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F19FC" w:rsidRPr="00FF19FC" w:rsidTr="00FF19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Итого по муниципальной программе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CA41F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FF19FC" w:rsidRPr="00FF19FC" w:rsidRDefault="00FF19FC" w:rsidP="00CA41F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FF19FC" w:rsidRPr="00FF19FC" w:rsidRDefault="00FF19FC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Приложение № 2</w:t>
      </w:r>
    </w:p>
    <w:p w:rsidR="00FF19FC" w:rsidRPr="00FF19FC" w:rsidRDefault="00CA41F7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FF19FC" w:rsidRPr="00FF19FC" w:rsidRDefault="00CA41F7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CA41F7" w:rsidRPr="00CA41F7" w:rsidRDefault="00FF19FC" w:rsidP="00CA41F7">
      <w:pPr>
        <w:suppressAutoHyphens w:val="0"/>
        <w:autoSpaceDN/>
        <w:ind w:firstLine="851"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</w:t>
      </w:r>
      <w:r w:rsidRPr="00FF19FC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CA41F7" w:rsidRPr="00CA41F7">
        <w:rPr>
          <w:rFonts w:ascii="Times New Roman" w:eastAsia="Calibri" w:hAnsi="Times New Roman" w:cs="Times New Roman"/>
          <w:kern w:val="0"/>
          <w:lang w:eastAsia="en-US" w:bidi="ar-SA"/>
        </w:rPr>
        <w:t>Формирование  городской среды</w:t>
      </w:r>
      <w:r w:rsidR="00CA41F7">
        <w:rPr>
          <w:rFonts w:ascii="Times New Roman" w:eastAsia="Calibri" w:hAnsi="Times New Roman" w:cs="Times New Roman"/>
          <w:kern w:val="0"/>
          <w:lang w:eastAsia="en-US" w:bidi="ar-SA"/>
        </w:rPr>
        <w:t xml:space="preserve"> на</w:t>
      </w:r>
      <w:r w:rsidR="00CA41F7" w:rsidRPr="00CA41F7">
        <w:rPr>
          <w:rFonts w:ascii="Times New Roman" w:eastAsia="Calibri" w:hAnsi="Times New Roman" w:cs="Times New Roman"/>
          <w:kern w:val="0"/>
          <w:lang w:eastAsia="en-US" w:bidi="ar-SA"/>
        </w:rPr>
        <w:t xml:space="preserve"> территории </w:t>
      </w:r>
    </w:p>
    <w:p w:rsidR="00FF19FC" w:rsidRPr="00FF19FC" w:rsidRDefault="00CA41F7" w:rsidP="00CA41F7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A41F7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 сельского поселения</w:t>
      </w:r>
      <w:r w:rsidR="00FF19FC" w:rsidRPr="00FF19FC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FF19FC" w:rsidRPr="00FF19FC" w:rsidRDefault="00FF19FC" w:rsidP="00BB226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bookmarkStart w:id="5" w:name="_GoBack"/>
      <w:bookmarkEnd w:id="5"/>
    </w:p>
    <w:p w:rsidR="00FF19FC" w:rsidRPr="00FF19FC" w:rsidRDefault="00FF19FC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Таблица 12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СВЕДЕНИЯ</w:t>
      </w:r>
    </w:p>
    <w:p w:rsidR="00FF19FC" w:rsidRPr="00FF19FC" w:rsidRDefault="00FF19FC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>об использовании бюджетных ассигнований и внебюджетных средств на реализацию</w:t>
      </w:r>
    </w:p>
    <w:p w:rsidR="00FF19FC" w:rsidRPr="00FF19FC" w:rsidRDefault="00CA41F7" w:rsidP="00FF19FC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 за 2022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4"/>
        <w:gridCol w:w="2976"/>
        <w:gridCol w:w="2834"/>
        <w:gridCol w:w="2692"/>
        <w:gridCol w:w="3684"/>
      </w:tblGrid>
      <w:tr w:rsidR="00FF19FC" w:rsidRPr="00FF19FC" w:rsidTr="00FF19FC">
        <w:trPr>
          <w:trHeight w:val="3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Источники финансирования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Объем расходов (тыс. рублей), предусмотренных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Фактические 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>расходы (тыс. рублей),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</w:r>
            <w:r w:rsidRPr="00FF19FC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&lt;1&gt;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FF19FC" w:rsidRPr="00FF19FC" w:rsidTr="00FF19FC">
        <w:trPr>
          <w:trHeight w:val="1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муниципальной программой </w:t>
            </w:r>
          </w:p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сводной бюджетной росписью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58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4"/>
        <w:gridCol w:w="2976"/>
        <w:gridCol w:w="2834"/>
        <w:gridCol w:w="2692"/>
        <w:gridCol w:w="3684"/>
      </w:tblGrid>
      <w:tr w:rsidR="00FF19FC" w:rsidRPr="00FF19FC" w:rsidTr="00CA41F7">
        <w:trPr>
          <w:trHeight w:val="75"/>
          <w:tblHeader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FF19FC" w:rsidRPr="00FF19FC" w:rsidTr="00CA41F7">
        <w:trPr>
          <w:trHeight w:val="320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Муниципальная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 xml:space="preserve">программа  </w:t>
            </w:r>
          </w:p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CA41F7" w:rsidRPr="00CA41F7" w:rsidRDefault="00FF19FC" w:rsidP="00CA41F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</w:t>
            </w:r>
            <w:r w:rsidR="00CA41F7" w:rsidRPr="00CA41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Формирование  городской среды </w:t>
            </w:r>
            <w:r w:rsidR="00CA41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 </w:t>
            </w:r>
            <w:r w:rsidR="00CA41F7" w:rsidRPr="00CA41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территории </w:t>
            </w:r>
          </w:p>
          <w:p w:rsidR="00FF19FC" w:rsidRPr="00FF19FC" w:rsidRDefault="00CA41F7" w:rsidP="00CA41F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A41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Васильево-Ханжоновского сельского поселения</w:t>
            </w:r>
            <w:r w:rsidR="00FF19FC" w:rsidRPr="00FF19F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</w:tr>
      <w:tr w:rsidR="00CA41F7" w:rsidRPr="00FF19FC" w:rsidTr="00CA41F7">
        <w:trPr>
          <w:trHeight w:val="309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F7" w:rsidRPr="00FF19FC" w:rsidRDefault="00CA41F7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</w:tr>
      <w:tr w:rsidR="00FF19FC" w:rsidRPr="00FF19FC" w:rsidTr="00CA41F7">
        <w:trPr>
          <w:trHeight w:val="387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безвозмездные поступления в бюджет поселения, &lt;2&gt;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FF19FC" w:rsidRPr="00FF19FC" w:rsidTr="00CA41F7">
        <w:trPr>
          <w:trHeight w:val="317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F19FC" w:rsidRPr="00FF19FC" w:rsidTr="00CA41F7">
        <w:trPr>
          <w:trHeight w:val="317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-  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областного</w:t>
            </w:r>
            <w:r w:rsidRPr="00FF19F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 бюджета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CA41F7" w:rsidRPr="00FF19FC" w:rsidTr="00CA41F7">
        <w:trPr>
          <w:trHeight w:val="226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F7" w:rsidRPr="00FF19FC" w:rsidRDefault="00CA41F7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- </w:t>
            </w:r>
            <w:r w:rsidRPr="00FF19F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федерального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бюджета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FF19FC" w:rsidRPr="00FF19FC" w:rsidTr="00CA41F7">
        <w:trPr>
          <w:trHeight w:val="279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CA41F7" w:rsidRPr="00FF19FC" w:rsidTr="00CA41F7">
        <w:trPr>
          <w:trHeight w:val="320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Подпрограмма 1. </w:t>
            </w:r>
          </w:p>
          <w:p w:rsidR="00CA41F7" w:rsidRPr="00FF19FC" w:rsidRDefault="00CA41F7" w:rsidP="00CA41F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</w:t>
            </w:r>
            <w:r w:rsidRPr="00CA41F7">
              <w:rPr>
                <w:rFonts w:ascii="Times New Roman" w:eastAsia="Times New Roman" w:hAnsi="Times New Roman" w:cs="Times New Roman" w:hint="eastAsia"/>
                <w:bCs/>
                <w:kern w:val="0"/>
                <w:lang w:eastAsia="en-US" w:bidi="ar-SA"/>
              </w:rPr>
              <w:t>Создание благоприятных условий для проживания и отдыха населения</w:t>
            </w: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</w:tr>
      <w:tr w:rsidR="00CA41F7" w:rsidRPr="00FF19FC" w:rsidTr="00CA41F7">
        <w:trPr>
          <w:trHeight w:val="248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F7" w:rsidRPr="00FF19FC" w:rsidRDefault="00CA41F7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F7" w:rsidRPr="00FF19FC" w:rsidRDefault="00CA41F7" w:rsidP="00C80C01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</w:tr>
      <w:tr w:rsidR="00FF19FC" w:rsidRPr="00FF19FC" w:rsidTr="00CA41F7">
        <w:trPr>
          <w:trHeight w:val="367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FF19FC" w:rsidRPr="00FF19FC" w:rsidTr="00CA41F7">
        <w:trPr>
          <w:trHeight w:val="334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F19FC" w:rsidRPr="00FF19FC" w:rsidTr="00CA41F7">
        <w:trPr>
          <w:trHeight w:val="334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- федерального бюджета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FF19FC" w:rsidRPr="00FF19FC" w:rsidTr="00CA41F7">
        <w:trPr>
          <w:trHeight w:val="392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областного бюджета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FF19FC" w:rsidRPr="00FF19FC" w:rsidTr="00CA41F7">
        <w:trPr>
          <w:trHeight w:val="262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FF19FC" w:rsidRPr="00FF19FC" w:rsidTr="00CA41F7">
        <w:trPr>
          <w:trHeight w:val="3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1.1.</w:t>
            </w:r>
          </w:p>
          <w:p w:rsidR="00FF19FC" w:rsidRPr="00FF19FC" w:rsidRDefault="00CA41F7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A41F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Благоустройство территорий общего пользования населения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FF19FC" w:rsidP="00FF19F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F19FC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3" w:anchor="Par1127" w:history="1">
              <w:r w:rsidRPr="00FF19FC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FC" w:rsidRPr="00FF19FC" w:rsidRDefault="00CA41F7" w:rsidP="00FF19FC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7,4</w:t>
            </w:r>
          </w:p>
        </w:tc>
      </w:tr>
    </w:tbl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&lt;1</w:t>
      </w:r>
      <w:proofErr w:type="gramStart"/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&gt; В</w:t>
      </w:r>
      <w:proofErr w:type="gramEnd"/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соответствии с бюджетной отчетностью на 1 января текущего финансового года.</w:t>
      </w:r>
    </w:p>
    <w:p w:rsidR="00FF19FC" w:rsidRPr="00FF19FC" w:rsidRDefault="00FF19FC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&lt;</w:t>
      </w:r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proofErr w:type="gramStart"/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&gt; З</w:t>
      </w:r>
      <w:proofErr w:type="gramEnd"/>
      <w:r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аполняется в случае наличия указанных средств.</w:t>
      </w:r>
    </w:p>
    <w:p w:rsidR="00FF19FC" w:rsidRPr="00FF19FC" w:rsidRDefault="00BB2261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hyperlink r:id="rId14" w:anchor="Par1127" w:history="1">
        <w:r w:rsidR="00FF19FC" w:rsidRPr="00FF19FC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&lt;3</w:t>
        </w:r>
        <w:proofErr w:type="gramStart"/>
        <w:r w:rsidR="00FF19FC" w:rsidRPr="00FF19FC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&gt;</w:t>
        </w:r>
      </w:hyperlink>
      <w:r w:rsidR="00FF19FC"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П</w:t>
      </w:r>
      <w:proofErr w:type="gramEnd"/>
      <w:r w:rsidR="00FF19FC"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 основным мероприятиям подпрограмм и мероприятиям ВЦП в графе 3 «Объем расходов</w:t>
      </w:r>
      <w:r w:rsidR="00FF19FC"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FF19FC" w:rsidRPr="00FF19FC" w:rsidRDefault="00BB2261" w:rsidP="00FF19FC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hyperlink r:id="rId15" w:anchor="Par1127" w:history="1">
        <w:r w:rsidR="00FF19FC" w:rsidRPr="00FF19FC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&lt;4</w:t>
        </w:r>
        <w:proofErr w:type="gramStart"/>
        <w:r w:rsidR="00FF19FC" w:rsidRPr="00FF19FC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&gt;</w:t>
        </w:r>
      </w:hyperlink>
      <w:r w:rsidR="00FF19FC"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В</w:t>
      </w:r>
      <w:proofErr w:type="gramEnd"/>
      <w:r w:rsidR="00FF19FC" w:rsidRPr="00FF19FC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основное мероприятие 1.1 – ОМ 1.1.</w:t>
      </w:r>
    </w:p>
    <w:p w:rsidR="00FF19FC" w:rsidRPr="00FF19FC" w:rsidRDefault="00FF19FC" w:rsidP="00FF19F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FF19FC" w:rsidRPr="00FF19FC">
          <w:pgSz w:w="16838" w:h="11906" w:orient="landscape"/>
          <w:pgMar w:top="284" w:right="709" w:bottom="851" w:left="340" w:header="720" w:footer="720" w:gutter="284"/>
          <w:cols w:space="720"/>
        </w:sectPr>
      </w:pPr>
    </w:p>
    <w:p w:rsidR="00FF19FC" w:rsidRPr="00FF19FC" w:rsidRDefault="00FF19FC" w:rsidP="00FF19FC">
      <w:pPr>
        <w:suppressAutoHyphens w:val="0"/>
        <w:autoSpaceDE w:val="0"/>
        <w:adjustRightInd w:val="0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FF19FC" w:rsidRPr="00FF19FC" w:rsidRDefault="00FF19FC" w:rsidP="00FF19FC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</w:p>
    <w:p w:rsidR="00FF19FC" w:rsidRPr="00FF19FC" w:rsidRDefault="00FF19FC" w:rsidP="00FF19FC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</w:p>
    <w:p w:rsidR="00FF19FC" w:rsidRPr="00FF19FC" w:rsidRDefault="00FF19FC" w:rsidP="00FF19FC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FF19FC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Приложение № 3</w:t>
      </w:r>
    </w:p>
    <w:p w:rsidR="00FF19FC" w:rsidRPr="00FF19FC" w:rsidRDefault="00CA41F7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FF19FC" w:rsidRPr="00FF19FC" w:rsidRDefault="00CA41F7" w:rsidP="00FF19FC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CA41F7" w:rsidRPr="00CA41F7" w:rsidRDefault="00FF19FC" w:rsidP="00CA41F7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 w:hint="eastAsia"/>
          <w:kern w:val="0"/>
          <w:lang w:eastAsia="en-US" w:bidi="ar-SA"/>
        </w:rPr>
      </w:pPr>
      <w:r w:rsidRPr="00FF19F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 w:rsidR="00CA41F7" w:rsidRPr="00CA41F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Формирование  городской среды на территории </w:t>
      </w:r>
    </w:p>
    <w:p w:rsidR="00FF19FC" w:rsidRPr="00FF19FC" w:rsidRDefault="00CA41F7" w:rsidP="00CA41F7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A41F7">
        <w:rPr>
          <w:rFonts w:ascii="Times New Roman" w:eastAsia="Times New Roman" w:hAnsi="Times New Roman" w:cs="Times New Roman" w:hint="eastAsia"/>
          <w:kern w:val="0"/>
          <w:lang w:eastAsia="en-US" w:bidi="ar-SA"/>
        </w:rPr>
        <w:t>Васильево-Ханжоновского сельского поселения</w:t>
      </w:r>
      <w:r w:rsidR="00FF19FC" w:rsidRPr="00FF19FC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</w:p>
    <w:p w:rsidR="00FF19FC" w:rsidRPr="00FF19FC" w:rsidRDefault="00FF19FC" w:rsidP="00FF19FC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FF19FC" w:rsidRPr="00FF19FC" w:rsidRDefault="00FF19FC" w:rsidP="00FF19FC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FF19F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Сведения о достижении значений показателей (индикаторов)</w:t>
      </w:r>
    </w:p>
    <w:p w:rsidR="00FF19FC" w:rsidRPr="00FF19FC" w:rsidRDefault="00FF19FC" w:rsidP="00FF19FC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33"/>
      </w:tblGrid>
      <w:tr w:rsidR="00FF19FC" w:rsidRPr="00FF19FC" w:rsidTr="00FF19FC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</w:t>
            </w:r>
            <w:proofErr w:type="gramEnd"/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F19FC" w:rsidRPr="00FF19FC" w:rsidTr="00CA41F7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CA41F7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CA41F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 xml:space="preserve">Год, предшествующий </w:t>
            </w:r>
            <w:proofErr w:type="gramStart"/>
            <w:r w:rsidRPr="00CA41F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Отчетный год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</w:p>
        </w:tc>
      </w:tr>
      <w:tr w:rsidR="00FF19FC" w:rsidRPr="00FF19FC" w:rsidTr="00CA41F7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факт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FC" w:rsidRPr="00FF19FC" w:rsidRDefault="00FF19FC" w:rsidP="00FF19F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</w:p>
        </w:tc>
      </w:tr>
      <w:tr w:rsidR="00FF19FC" w:rsidRPr="00FF19FC" w:rsidTr="00FF19FC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F7" w:rsidRPr="00CA41F7" w:rsidRDefault="00FF19FC" w:rsidP="00CA41F7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Муниципальная программа </w:t>
            </w:r>
            <w:r w:rsidRPr="00CA41F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«</w:t>
            </w:r>
            <w:r w:rsidR="00CA41F7" w:rsidRPr="00CA41F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Формирование  городской среды на территории </w:t>
            </w:r>
          </w:p>
          <w:p w:rsidR="00FF19FC" w:rsidRPr="00FF19FC" w:rsidRDefault="00CA41F7" w:rsidP="00CA41F7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CA41F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Васильево-Ханжоновского сельского поселения</w:t>
            </w:r>
            <w:r w:rsidR="00FF19FC" w:rsidRPr="00CA41F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»</w:t>
            </w:r>
          </w:p>
        </w:tc>
      </w:tr>
      <w:tr w:rsidR="00FF19FC" w:rsidRPr="00FF19FC" w:rsidTr="00FF19FC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FC" w:rsidRPr="00FF19FC" w:rsidRDefault="00FF19FC" w:rsidP="00CA41F7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b/>
                <w:kern w:val="0"/>
                <w:lang w:eastAsia="ar-SA" w:bidi="ar-SA"/>
              </w:rPr>
              <w:t xml:space="preserve">Подпрограмма 1 </w:t>
            </w:r>
            <w:r w:rsidRPr="00FF19FC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«</w:t>
            </w:r>
            <w:r w:rsidR="00CA41F7" w:rsidRPr="00CA41F7">
              <w:rPr>
                <w:rFonts w:ascii="Times New Roman" w:eastAsia="Times New Roman" w:hAnsi="Times New Roman" w:cs="Times New Roman" w:hint="eastAsia"/>
                <w:b/>
                <w:bCs/>
                <w:kern w:val="0"/>
                <w:lang w:eastAsia="en-US" w:bidi="ar-SA"/>
              </w:rPr>
              <w:t>Создание благоприятных условий для проживания и отдыха населения</w:t>
            </w:r>
            <w:r w:rsidRPr="00FF19FC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»</w:t>
            </w:r>
          </w:p>
        </w:tc>
      </w:tr>
      <w:tr w:rsidR="00FF19FC" w:rsidRPr="00FF19FC" w:rsidTr="00FF19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CA41F7" w:rsidRDefault="00CA41F7" w:rsidP="00FF19FC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CA41F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FF19FC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CA41F7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  <w:r w:rsidR="00FF19FC" w:rsidRPr="00FF19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CA41F7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9FC" w:rsidRPr="00FF19FC" w:rsidRDefault="00CA41F7" w:rsidP="00CA41F7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10,6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FC" w:rsidRPr="00FF19FC" w:rsidRDefault="00FF19FC" w:rsidP="00FF19FC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8B3AA9" w:rsidRPr="00FF19FC" w:rsidTr="00FF19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A9" w:rsidRPr="00FF19FC" w:rsidRDefault="008B3AA9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A9" w:rsidRPr="008B3AA9" w:rsidRDefault="008B3AA9" w:rsidP="00FF19FC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B3AA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A9" w:rsidRPr="008B3AA9" w:rsidRDefault="008B3AA9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</w:pPr>
            <w:proofErr w:type="spellStart"/>
            <w:r w:rsidRPr="008B3AA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кв</w:t>
            </w:r>
            <w:proofErr w:type="gramStart"/>
            <w:r w:rsidRPr="008B3AA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.м</w:t>
            </w:r>
            <w:proofErr w:type="spellEnd"/>
            <w:proofErr w:type="gramEnd"/>
            <w:r w:rsidRPr="008B3AA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 w:bidi="ar-SA"/>
              </w:rPr>
              <w:t>/чел.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A9" w:rsidRDefault="008B3AA9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A9" w:rsidRDefault="008B3AA9" w:rsidP="00FF19FC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A9" w:rsidRDefault="008B3AA9" w:rsidP="00CA41F7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A9" w:rsidRPr="00FF19FC" w:rsidRDefault="008B3AA9" w:rsidP="00FF19FC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FF19FC" w:rsidRPr="00FF19FC" w:rsidRDefault="00FF19FC" w:rsidP="00FF19F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F"/>
    <w:rsid w:val="00015B1C"/>
    <w:rsid w:val="000235E8"/>
    <w:rsid w:val="00094354"/>
    <w:rsid w:val="000C36DC"/>
    <w:rsid w:val="000C4567"/>
    <w:rsid w:val="000D3CB1"/>
    <w:rsid w:val="000E0166"/>
    <w:rsid w:val="000E2EF0"/>
    <w:rsid w:val="000E6376"/>
    <w:rsid w:val="000F1E0D"/>
    <w:rsid w:val="00124C1B"/>
    <w:rsid w:val="001547A8"/>
    <w:rsid w:val="00166CF9"/>
    <w:rsid w:val="001A393A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D18B0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895783"/>
    <w:rsid w:val="008B3AA9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B2261"/>
    <w:rsid w:val="00BC4DE9"/>
    <w:rsid w:val="00BF1459"/>
    <w:rsid w:val="00BF79FF"/>
    <w:rsid w:val="00C059B0"/>
    <w:rsid w:val="00C31D55"/>
    <w:rsid w:val="00C710D7"/>
    <w:rsid w:val="00C82201"/>
    <w:rsid w:val="00CA41F7"/>
    <w:rsid w:val="00CA47E6"/>
    <w:rsid w:val="00CB7B6A"/>
    <w:rsid w:val="00CF7CC1"/>
    <w:rsid w:val="00D1619E"/>
    <w:rsid w:val="00D34B10"/>
    <w:rsid w:val="00D53B8E"/>
    <w:rsid w:val="00D65B36"/>
    <w:rsid w:val="00DA4770"/>
    <w:rsid w:val="00E12759"/>
    <w:rsid w:val="00E17D31"/>
    <w:rsid w:val="00E45138"/>
    <w:rsid w:val="00E52B57"/>
    <w:rsid w:val="00EB2ED6"/>
    <w:rsid w:val="00F070C5"/>
    <w:rsid w:val="00F22D80"/>
    <w:rsid w:val="00F307E2"/>
    <w:rsid w:val="00F417B7"/>
    <w:rsid w:val="00F43ECE"/>
    <w:rsid w:val="00F82F78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uiPriority w:val="99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uiPriority w:val="99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file:///C:\..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file:///C:\..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file:///C:\..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30DC-6E43-4B67-AFCD-1FA7965D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9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ЧАППИ</dc:creator>
  <cp:lastModifiedBy>ЧАППИ</cp:lastModifiedBy>
  <cp:revision>3</cp:revision>
  <cp:lastPrinted>2023-02-07T06:37:00Z</cp:lastPrinted>
  <dcterms:created xsi:type="dcterms:W3CDTF">2018-10-11T10:51:00Z</dcterms:created>
  <dcterms:modified xsi:type="dcterms:W3CDTF">2023-02-10T07:13:00Z</dcterms:modified>
</cp:coreProperties>
</file>