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851" w:left="0"/>
        <w:jc w:val="center"/>
        <w:rPr>
          <w:b w:val="1"/>
        </w:rPr>
      </w:pPr>
      <w:bookmarkStart w:id="1" w:name="_GoBack"/>
      <w:bookmarkEnd w:id="1"/>
    </w:p>
    <w:p w14:paraId="02000000">
      <w:pPr>
        <w:pStyle w:val="Style_1"/>
        <w:ind w:firstLine="851" w:left="0"/>
        <w:jc w:val="center"/>
        <w:rPr>
          <w:b w:val="1"/>
        </w:rPr>
      </w:pPr>
    </w:p>
    <w:p w14:paraId="03000000">
      <w:pPr>
        <w:pStyle w:val="Style_1"/>
        <w:ind w:firstLine="851" w:left="0"/>
        <w:jc w:val="center"/>
        <w:rPr>
          <w:b w:val="1"/>
        </w:rPr>
      </w:pPr>
    </w:p>
    <w:p w14:paraId="04000000">
      <w:pPr>
        <w:pStyle w:val="Style_1"/>
        <w:ind w:firstLine="851" w:left="0"/>
        <w:jc w:val="center"/>
        <w:rPr>
          <w:b w:val="1"/>
        </w:rPr>
      </w:pPr>
    </w:p>
    <w:p w14:paraId="05000000">
      <w:pPr>
        <w:pStyle w:val="Style_1"/>
        <w:ind w:firstLine="851" w:left="0"/>
        <w:jc w:val="center"/>
        <w:rPr>
          <w:b w:val="1"/>
        </w:rPr>
      </w:pPr>
    </w:p>
    <w:p w14:paraId="06000000">
      <w:pPr>
        <w:pStyle w:val="Style_1"/>
        <w:ind w:firstLine="851" w:left="0"/>
        <w:jc w:val="center"/>
        <w:rPr>
          <w:b w:val="1"/>
        </w:rPr>
      </w:pPr>
    </w:p>
    <w:p w14:paraId="07000000">
      <w:pPr>
        <w:pStyle w:val="Style_1"/>
        <w:ind w:firstLine="851" w:left="0"/>
        <w:jc w:val="center"/>
        <w:rPr>
          <w:b w:val="1"/>
        </w:rPr>
      </w:pPr>
    </w:p>
    <w:p w14:paraId="08000000">
      <w:pPr>
        <w:pStyle w:val="Style_1"/>
        <w:ind w:firstLine="851" w:left="0"/>
        <w:jc w:val="center"/>
        <w:rPr>
          <w:b w:val="1"/>
        </w:rPr>
      </w:pPr>
    </w:p>
    <w:p w14:paraId="09000000">
      <w:pPr>
        <w:pStyle w:val="Style_1"/>
        <w:ind w:firstLine="851" w:left="0"/>
        <w:jc w:val="center"/>
        <w:rPr>
          <w:b w:val="1"/>
        </w:rPr>
      </w:pPr>
    </w:p>
    <w:p w14:paraId="0A000000">
      <w:pPr>
        <w:pStyle w:val="Style_1"/>
        <w:ind w:firstLine="851" w:left="0"/>
        <w:jc w:val="center"/>
        <w:rPr>
          <w:b w:val="1"/>
        </w:rPr>
      </w:pPr>
    </w:p>
    <w:p w14:paraId="0B000000">
      <w:pPr>
        <w:pStyle w:val="Style_1"/>
        <w:ind w:firstLine="851" w:left="0"/>
        <w:jc w:val="center"/>
        <w:rPr>
          <w:b w:val="1"/>
        </w:rPr>
      </w:pPr>
    </w:p>
    <w:p w14:paraId="0C000000">
      <w:pPr>
        <w:pStyle w:val="Style_1"/>
        <w:ind w:firstLine="851" w:left="0"/>
        <w:jc w:val="center"/>
        <w:rPr>
          <w:b w:val="1"/>
        </w:rPr>
      </w:pPr>
    </w:p>
    <w:p w14:paraId="0D000000">
      <w:pPr>
        <w:pStyle w:val="Style_1"/>
        <w:ind w:firstLine="851" w:left="0"/>
        <w:jc w:val="center"/>
        <w:rPr>
          <w:b w:val="1"/>
        </w:rPr>
      </w:pPr>
    </w:p>
    <w:p w14:paraId="0E000000">
      <w:pPr>
        <w:pStyle w:val="Style_1"/>
        <w:ind w:firstLine="851" w:left="0"/>
        <w:jc w:val="center"/>
        <w:rPr>
          <w:b w:val="1"/>
        </w:rPr>
      </w:pPr>
    </w:p>
    <w:p w14:paraId="0F000000">
      <w:pPr>
        <w:pStyle w:val="Style_1"/>
        <w:ind w:firstLine="851" w:left="0"/>
        <w:jc w:val="center"/>
        <w:rPr>
          <w:b w:val="1"/>
        </w:rPr>
      </w:pPr>
    </w:p>
    <w:p w14:paraId="10000000">
      <w:pPr>
        <w:pStyle w:val="Style_1"/>
        <w:ind w:firstLine="851" w:left="0"/>
        <w:jc w:val="center"/>
        <w:rPr>
          <w:b w:val="1"/>
        </w:rPr>
      </w:pPr>
    </w:p>
    <w:p w14:paraId="11000000">
      <w:pPr>
        <w:pStyle w:val="Style_1"/>
        <w:ind w:firstLine="851" w:left="0"/>
        <w:jc w:val="center"/>
        <w:rPr>
          <w:b w:val="1"/>
        </w:rPr>
      </w:pPr>
    </w:p>
    <w:p w14:paraId="12000000">
      <w:pPr>
        <w:pStyle w:val="Style_1"/>
        <w:ind w:firstLine="851" w:left="0"/>
        <w:jc w:val="center"/>
        <w:rPr>
          <w:b w:val="1"/>
        </w:rPr>
      </w:pPr>
    </w:p>
    <w:p w14:paraId="13000000">
      <w:pPr>
        <w:pStyle w:val="Style_1"/>
        <w:ind w:firstLine="851" w:left="0"/>
        <w:jc w:val="center"/>
        <w:rPr>
          <w:b w:val="1"/>
          <w:sz w:val="48"/>
        </w:rPr>
      </w:pPr>
      <w:r>
        <w:rPr>
          <w:b w:val="1"/>
          <w:sz w:val="48"/>
        </w:rPr>
        <w:t xml:space="preserve">Методическая памятка </w:t>
      </w:r>
    </w:p>
    <w:p w14:paraId="14000000">
      <w:pPr>
        <w:pStyle w:val="Style_1"/>
        <w:ind w:firstLine="851" w:left="0"/>
        <w:jc w:val="center"/>
        <w:rPr>
          <w:b w:val="1"/>
          <w:sz w:val="48"/>
        </w:rPr>
      </w:pPr>
      <w:r>
        <w:rPr>
          <w:b w:val="1"/>
          <w:sz w:val="48"/>
        </w:rPr>
        <w:t>для иностранных работников,</w:t>
      </w:r>
    </w:p>
    <w:p w14:paraId="15000000">
      <w:pPr>
        <w:pStyle w:val="Style_1"/>
        <w:ind w:firstLine="851" w:left="0"/>
        <w:jc w:val="center"/>
        <w:rPr>
          <w:b w:val="1"/>
          <w:sz w:val="48"/>
        </w:rPr>
      </w:pPr>
      <w:r>
        <w:rPr>
          <w:b w:val="1"/>
          <w:sz w:val="48"/>
        </w:rPr>
        <w:t>планирующих осуществлять</w:t>
      </w:r>
    </w:p>
    <w:p w14:paraId="16000000">
      <w:pPr>
        <w:pStyle w:val="Style_1"/>
        <w:ind w:firstLine="851" w:left="0"/>
        <w:jc w:val="center"/>
        <w:rPr>
          <w:b w:val="1"/>
          <w:sz w:val="48"/>
        </w:rPr>
      </w:pPr>
      <w:r>
        <w:rPr>
          <w:b w:val="1"/>
          <w:sz w:val="48"/>
        </w:rPr>
        <w:t xml:space="preserve"> трудовую деятельность</w:t>
      </w:r>
    </w:p>
    <w:p w14:paraId="17000000">
      <w:pPr>
        <w:pStyle w:val="Style_1"/>
        <w:ind w:firstLine="851" w:left="0"/>
        <w:jc w:val="center"/>
        <w:rPr>
          <w:b w:val="1"/>
          <w:sz w:val="48"/>
        </w:rPr>
      </w:pPr>
      <w:r>
        <w:rPr>
          <w:b w:val="1"/>
          <w:sz w:val="48"/>
        </w:rPr>
        <w:t>на территории Ростовской области</w:t>
      </w:r>
    </w:p>
    <w:p w14:paraId="18000000">
      <w:pPr>
        <w:pStyle w:val="Style_1"/>
        <w:ind w:firstLine="851" w:left="0"/>
        <w:jc w:val="center"/>
        <w:rPr>
          <w:b w:val="1"/>
        </w:rPr>
      </w:pPr>
    </w:p>
    <w:p w14:paraId="19000000">
      <w:pPr>
        <w:pStyle w:val="Style_1"/>
        <w:ind w:firstLine="851" w:left="0"/>
        <w:jc w:val="center"/>
        <w:rPr>
          <w:b w:val="1"/>
        </w:rPr>
      </w:pPr>
    </w:p>
    <w:p w14:paraId="1A000000">
      <w:pPr>
        <w:pStyle w:val="Style_1"/>
        <w:ind w:firstLine="851" w:left="0"/>
        <w:jc w:val="center"/>
        <w:rPr>
          <w:b w:val="1"/>
        </w:rPr>
      </w:pPr>
    </w:p>
    <w:p w14:paraId="1B000000">
      <w:pPr>
        <w:pStyle w:val="Style_1"/>
        <w:ind w:firstLine="851" w:left="0"/>
        <w:jc w:val="center"/>
        <w:rPr>
          <w:b w:val="1"/>
        </w:rPr>
      </w:pPr>
    </w:p>
    <w:p w14:paraId="1C000000">
      <w:pPr>
        <w:pStyle w:val="Style_1"/>
        <w:ind w:firstLine="851" w:left="0"/>
        <w:jc w:val="center"/>
        <w:rPr>
          <w:b w:val="1"/>
        </w:rPr>
      </w:pPr>
    </w:p>
    <w:p w14:paraId="1D000000">
      <w:pPr>
        <w:pStyle w:val="Style_1"/>
        <w:ind w:firstLine="851" w:left="0"/>
        <w:jc w:val="center"/>
        <w:rPr>
          <w:b w:val="1"/>
        </w:rPr>
      </w:pPr>
    </w:p>
    <w:p w14:paraId="1E000000">
      <w:pPr>
        <w:pStyle w:val="Style_1"/>
        <w:ind w:firstLine="851" w:left="0"/>
        <w:jc w:val="center"/>
        <w:rPr>
          <w:b w:val="1"/>
        </w:rPr>
      </w:pPr>
    </w:p>
    <w:p w14:paraId="1F000000">
      <w:pPr>
        <w:pStyle w:val="Style_1"/>
        <w:ind w:firstLine="851" w:left="0"/>
        <w:jc w:val="center"/>
        <w:rPr>
          <w:b w:val="1"/>
        </w:rPr>
      </w:pPr>
    </w:p>
    <w:p w14:paraId="20000000">
      <w:pPr>
        <w:pStyle w:val="Style_1"/>
        <w:ind w:firstLine="851" w:left="0"/>
        <w:jc w:val="center"/>
        <w:rPr>
          <w:b w:val="1"/>
        </w:rPr>
      </w:pPr>
    </w:p>
    <w:p w14:paraId="21000000">
      <w:pPr>
        <w:pStyle w:val="Style_1"/>
        <w:ind w:firstLine="851" w:left="0"/>
        <w:jc w:val="center"/>
        <w:rPr>
          <w:b w:val="1"/>
        </w:rPr>
      </w:pPr>
    </w:p>
    <w:p w14:paraId="22000000">
      <w:pPr>
        <w:pStyle w:val="Style_1"/>
        <w:ind w:firstLine="851" w:left="0"/>
        <w:jc w:val="center"/>
        <w:rPr>
          <w:b w:val="1"/>
        </w:rPr>
      </w:pPr>
    </w:p>
    <w:p w14:paraId="23000000">
      <w:pPr>
        <w:pStyle w:val="Style_1"/>
        <w:ind w:firstLine="851" w:left="0"/>
        <w:jc w:val="center"/>
        <w:rPr>
          <w:b w:val="1"/>
        </w:rPr>
      </w:pPr>
    </w:p>
    <w:p w14:paraId="24000000">
      <w:pPr>
        <w:pStyle w:val="Style_1"/>
        <w:ind w:firstLine="851" w:left="0"/>
        <w:jc w:val="center"/>
        <w:rPr>
          <w:b w:val="1"/>
        </w:rPr>
      </w:pPr>
    </w:p>
    <w:p w14:paraId="25000000">
      <w:pPr>
        <w:pStyle w:val="Style_1"/>
        <w:ind w:firstLine="851" w:left="0"/>
        <w:jc w:val="center"/>
        <w:rPr>
          <w:b w:val="1"/>
        </w:rPr>
      </w:pPr>
    </w:p>
    <w:p w14:paraId="26000000">
      <w:pPr>
        <w:pStyle w:val="Style_1"/>
        <w:ind w:firstLine="851" w:left="0"/>
        <w:jc w:val="center"/>
        <w:rPr>
          <w:b w:val="1"/>
        </w:rPr>
      </w:pPr>
    </w:p>
    <w:p w14:paraId="27000000">
      <w:pPr>
        <w:pStyle w:val="Style_1"/>
        <w:ind w:firstLine="851" w:left="0"/>
        <w:jc w:val="center"/>
        <w:rPr>
          <w:b w:val="1"/>
        </w:rPr>
      </w:pPr>
    </w:p>
    <w:p w14:paraId="28000000">
      <w:pPr>
        <w:pStyle w:val="Style_1"/>
        <w:ind w:firstLine="851" w:left="0"/>
        <w:jc w:val="center"/>
        <w:rPr>
          <w:b w:val="1"/>
        </w:rPr>
      </w:pPr>
    </w:p>
    <w:p w14:paraId="29000000">
      <w:pPr>
        <w:pStyle w:val="Style_1"/>
        <w:ind w:firstLine="851" w:left="0"/>
        <w:jc w:val="center"/>
        <w:rPr>
          <w:b w:val="1"/>
        </w:rPr>
      </w:pPr>
    </w:p>
    <w:p w14:paraId="2A000000">
      <w:pPr>
        <w:pStyle w:val="Style_1"/>
        <w:ind w:firstLine="851" w:left="0"/>
        <w:jc w:val="center"/>
        <w:rPr>
          <w:b w:val="1"/>
        </w:rPr>
      </w:pPr>
    </w:p>
    <w:p w14:paraId="2B000000">
      <w:pPr>
        <w:pStyle w:val="Style_1"/>
        <w:ind w:firstLine="851" w:left="0"/>
        <w:jc w:val="center"/>
        <w:rPr>
          <w:b w:val="1"/>
        </w:rPr>
      </w:pPr>
    </w:p>
    <w:p w14:paraId="2C000000">
      <w:pPr>
        <w:pStyle w:val="Style_1"/>
        <w:ind w:firstLine="851" w:left="0"/>
        <w:jc w:val="center"/>
        <w:rPr>
          <w:b w:val="1"/>
        </w:rPr>
      </w:pPr>
    </w:p>
    <w:p w14:paraId="2D000000">
      <w:pPr>
        <w:pStyle w:val="Style_1"/>
        <w:ind w:firstLine="851" w:left="0"/>
        <w:jc w:val="center"/>
        <w:rPr>
          <w:b w:val="1"/>
        </w:rPr>
      </w:pPr>
    </w:p>
    <w:p w14:paraId="2E000000">
      <w:pPr>
        <w:pStyle w:val="Style_1"/>
        <w:ind w:firstLine="851" w:left="0"/>
        <w:jc w:val="center"/>
        <w:rPr>
          <w:b w:val="1"/>
        </w:rPr>
      </w:pPr>
      <w:r>
        <w:rPr>
          <w:b w:val="1"/>
        </w:rPr>
        <w:t>1. Если необходима помощь в поиске работы</w:t>
      </w:r>
    </w:p>
    <w:p w14:paraId="2F000000">
      <w:pPr>
        <w:pStyle w:val="Style_2"/>
        <w:widowControl w:val="0"/>
        <w:ind w:firstLine="851" w:left="0"/>
        <w:jc w:val="both"/>
        <w:rPr>
          <w:rStyle w:val="Style_3_ch"/>
          <w:sz w:val="28"/>
        </w:rPr>
      </w:pPr>
      <w:r>
        <w:rPr>
          <w:sz w:val="28"/>
        </w:rPr>
        <w:t>Центры занятости населения Ростовской области оказывают содействие в поиске подходящей работы. Для этого необходимо:</w:t>
      </w:r>
    </w:p>
    <w:p w14:paraId="30000000">
      <w:pPr>
        <w:pStyle w:val="Style_2"/>
        <w:widowControl w:val="0"/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rStyle w:val="Style_3_ch"/>
          <w:sz w:val="28"/>
        </w:rPr>
        <w:t xml:space="preserve">Подать заявление на поиск подходящей работы на </w:t>
      </w:r>
      <w:r>
        <w:rPr>
          <w:sz w:val="28"/>
        </w:rPr>
        <w:t>Единой цифровой платформе в сфере занятости и трудовых отношений «Работа в России» (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"http://www.trudvsem.ru/"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www.trudvsem.ru</w:t>
      </w:r>
      <w:r>
        <w:rPr>
          <w:rStyle w:val="Style_4_ch"/>
          <w:color w:val="000000"/>
          <w:sz w:val="28"/>
        </w:rPr>
        <w:fldChar w:fldCharType="end"/>
      </w:r>
      <w:r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 w14:paraId="31000000">
      <w:pPr>
        <w:pStyle w:val="Style_2"/>
        <w:widowControl w:val="0"/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14:paraId="32000000">
      <w:pPr>
        <w:pStyle w:val="Style_2"/>
        <w:widowControl w:val="0"/>
        <w:ind w:firstLine="851" w:left="0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России» (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"http://www.trudvsem.ru/"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www.trudvsem.ru</w:t>
      </w:r>
      <w:r>
        <w:rPr>
          <w:rStyle w:val="Style_4_ch"/>
          <w:color w:val="000000"/>
          <w:sz w:val="28"/>
        </w:rPr>
        <w:fldChar w:fldCharType="end"/>
      </w:r>
      <w:r>
        <w:rPr>
          <w:sz w:val="28"/>
        </w:rPr>
        <w:t xml:space="preserve"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доступе. </w:t>
      </w:r>
    </w:p>
    <w:p w14:paraId="33000000">
      <w:pPr>
        <w:ind w:firstLine="851" w:left="0"/>
        <w:jc w:val="both"/>
        <w:rPr>
          <w:spacing w:val="-4"/>
          <w:sz w:val="28"/>
        </w:rPr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r>
        <w:rPr>
          <w:rStyle w:val="Style_4_ch"/>
          <w:color w:val="000000"/>
          <w:spacing w:val="-4"/>
          <w:sz w:val="28"/>
        </w:rPr>
        <w:fldChar w:fldCharType="begin"/>
      </w:r>
      <w:r>
        <w:rPr>
          <w:rStyle w:val="Style_4_ch"/>
          <w:color w:val="000000"/>
          <w:spacing w:val="-4"/>
          <w:sz w:val="28"/>
        </w:rPr>
        <w:instrText>HYPERLINK "https://zan.donland.ru"</w:instrText>
      </w:r>
      <w:r>
        <w:rPr>
          <w:rStyle w:val="Style_4_ch"/>
          <w:color w:val="000000"/>
          <w:spacing w:val="-4"/>
          <w:sz w:val="28"/>
        </w:rPr>
        <w:fldChar w:fldCharType="separate"/>
      </w:r>
      <w:r>
        <w:rPr>
          <w:rStyle w:val="Style_4_ch"/>
          <w:color w:val="000000"/>
          <w:spacing w:val="-4"/>
          <w:sz w:val="28"/>
        </w:rPr>
        <w:t>https://zan.donland.ru</w:t>
      </w:r>
      <w:r>
        <w:rPr>
          <w:rStyle w:val="Style_4_ch"/>
          <w:color w:val="000000"/>
          <w:spacing w:val="-4"/>
          <w:sz w:val="28"/>
        </w:rPr>
        <w:fldChar w:fldCharType="end"/>
      </w:r>
      <w:r>
        <w:rPr>
          <w:spacing w:val="-4"/>
          <w:sz w:val="28"/>
        </w:rPr>
        <w:t xml:space="preserve">) </w:t>
      </w:r>
      <w:r>
        <w:rPr>
          <w:sz w:val="28"/>
        </w:rPr>
        <w:t xml:space="preserve">или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</w:r>
      <w:r>
        <w:rPr>
          <w:spacing w:val="-4"/>
          <w:sz w:val="28"/>
        </w:rPr>
        <w:t>8 (863): 244-22-56, 244-22-69, 244-22-63, 244-22-89</w:t>
      </w:r>
      <w:r>
        <w:rPr>
          <w:sz w:val="28"/>
        </w:rPr>
        <w:t xml:space="preserve">. </w:t>
      </w:r>
    </w:p>
    <w:p w14:paraId="34000000">
      <w:pPr>
        <w:pStyle w:val="Style_2"/>
        <w:widowControl w:val="0"/>
        <w:ind w:firstLine="851" w:left="0"/>
        <w:jc w:val="both"/>
        <w:rPr>
          <w:sz w:val="28"/>
        </w:rPr>
      </w:pPr>
      <w:r>
        <w:rPr>
          <w:sz w:val="28"/>
        </w:rPr>
        <w:t>Специалисты службы занятости населения подберут подходящий вариант трудоустройства, окажут необходимую помощь при проведении собеседования с работодателем.</w:t>
      </w:r>
    </w:p>
    <w:p w14:paraId="3500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2. Документы,</w:t>
      </w:r>
      <w:r>
        <w:rPr>
          <w:b w:val="1"/>
          <w:spacing w:val="11"/>
          <w:sz w:val="28"/>
        </w:rPr>
        <w:t xml:space="preserve"> необходимые </w:t>
      </w:r>
      <w:r>
        <w:rPr>
          <w:b w:val="1"/>
          <w:sz w:val="28"/>
        </w:rPr>
        <w:t>при приеме на работу (статьи 65, 66.1, 327.3 Трудового кодекса Российской Федерации):</w:t>
      </w:r>
    </w:p>
    <w:p w14:paraId="36000000">
      <w:pPr>
        <w:ind w:firstLine="851" w:left="0"/>
        <w:jc w:val="center"/>
        <w:rPr>
          <w:b w:val="1"/>
          <w:sz w:val="28"/>
        </w:rPr>
      </w:pPr>
    </w:p>
    <w:p w14:paraId="37000000">
      <w:pPr>
        <w:pStyle w:val="Style_5"/>
        <w:numPr>
          <w:ilvl w:val="0"/>
          <w:numId w:val="2"/>
        </w:numPr>
        <w:tabs>
          <w:tab w:leader="none" w:pos="979" w:val="left"/>
        </w:tabs>
        <w:ind w:firstLine="851" w:left="0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личность;</w:t>
      </w:r>
    </w:p>
    <w:p w14:paraId="38000000">
      <w:pPr>
        <w:pStyle w:val="Style_5"/>
        <w:numPr>
          <w:ilvl w:val="0"/>
          <w:numId w:val="2"/>
        </w:numPr>
        <w:tabs>
          <w:tab w:leader="none" w:pos="1009" w:val="left"/>
        </w:tabs>
        <w:ind w:firstLine="851" w:left="0"/>
        <w:jc w:val="both"/>
        <w:rPr>
          <w:sz w:val="28"/>
        </w:rPr>
      </w:pPr>
      <w:r>
        <w:rPr>
          <w:sz w:val="28"/>
        </w:rPr>
        <w:t>трудовую книжку и (или) сведения о трудовой деятельности, кроме случая, когда трудовой договор заключается впервые.</w:t>
      </w:r>
    </w:p>
    <w:p w14:paraId="39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Пояснение:</w:t>
      </w:r>
    </w:p>
    <w:p w14:paraId="3A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14:paraId="3B000000">
      <w:pPr>
        <w:pStyle w:val="Style_5"/>
        <w:numPr>
          <w:ilvl w:val="0"/>
          <w:numId w:val="2"/>
        </w:numPr>
        <w:tabs>
          <w:tab w:leader="none" w:pos="1136" w:val="left"/>
        </w:tabs>
        <w:ind w:firstLine="851" w:left="0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 w14:paraId="3C000000">
      <w:pPr>
        <w:pStyle w:val="Style_5"/>
        <w:numPr>
          <w:ilvl w:val="0"/>
          <w:numId w:val="2"/>
        </w:numPr>
        <w:tabs>
          <w:tab w:leader="none" w:pos="1204" w:val="left"/>
        </w:tabs>
        <w:ind w:firstLine="851" w:left="0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установленных федеральными законами, международными договорами РФ, указами Президента РФ, постановлениями Правительства РФ;</w:t>
      </w:r>
    </w:p>
    <w:p w14:paraId="3D000000">
      <w:pPr>
        <w:pStyle w:val="Style_5"/>
        <w:numPr>
          <w:ilvl w:val="0"/>
          <w:numId w:val="2"/>
        </w:numPr>
        <w:tabs>
          <w:tab w:leader="none" w:pos="995" w:val="left"/>
        </w:tabs>
        <w:ind w:firstLine="851" w:left="0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3E000000">
      <w:pPr>
        <w:pStyle w:val="Style_5"/>
        <w:numPr>
          <w:ilvl w:val="0"/>
          <w:numId w:val="2"/>
        </w:numPr>
        <w:tabs>
          <w:tab w:leader="none" w:pos="1103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3F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Пояснение:</w:t>
      </w:r>
    </w:p>
    <w:p w14:paraId="40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Справка представляется при поступлении на работу, к выполнению 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 w14:paraId="41000000">
      <w:pPr>
        <w:pStyle w:val="Style_5"/>
        <w:numPr>
          <w:ilvl w:val="0"/>
          <w:numId w:val="2"/>
        </w:numPr>
        <w:tabs>
          <w:tab w:leader="none" w:pos="1057" w:val="left"/>
        </w:tabs>
        <w:ind w:firstLine="851" w:left="0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 w14:paraId="42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Пояснение:</w:t>
      </w:r>
    </w:p>
    <w:p w14:paraId="43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16-4/В-465).</w:t>
      </w:r>
    </w:p>
    <w:p w14:paraId="44000000">
      <w:pPr>
        <w:pStyle w:val="Style_5"/>
        <w:numPr>
          <w:ilvl w:val="0"/>
          <w:numId w:val="2"/>
        </w:numPr>
        <w:tabs>
          <w:tab w:leader="none" w:pos="1098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 разрешение на работу или патент – при приеме на работу временно пребывающего в России иностранного гражданина;</w:t>
      </w:r>
    </w:p>
    <w:p w14:paraId="45000000">
      <w:pPr>
        <w:pStyle w:val="Style_5"/>
        <w:numPr>
          <w:ilvl w:val="0"/>
          <w:numId w:val="2"/>
        </w:numPr>
        <w:tabs>
          <w:tab w:leader="none" w:pos="1050" w:val="left"/>
        </w:tabs>
        <w:ind w:firstLine="851" w:left="0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 w14:paraId="46000000">
      <w:pPr>
        <w:pStyle w:val="Style_5"/>
        <w:numPr>
          <w:ilvl w:val="0"/>
          <w:numId w:val="2"/>
        </w:numPr>
        <w:tabs>
          <w:tab w:leader="none" w:pos="1215" w:val="left"/>
        </w:tabs>
        <w:ind w:firstLine="851" w:left="0"/>
        <w:jc w:val="both"/>
        <w:rPr>
          <w:sz w:val="28"/>
        </w:rPr>
      </w:pPr>
      <w:r>
        <w:rPr>
          <w:sz w:val="28"/>
        </w:rPr>
        <w:t>вид на жительство – при приеме на работу постоянно проживающего в России иностранного гражданина.</w:t>
      </w:r>
    </w:p>
    <w:p w14:paraId="47000000">
      <w:pPr>
        <w:tabs>
          <w:tab w:leader="none" w:pos="2353" w:val="left"/>
          <w:tab w:leader="none" w:pos="4207" w:val="left"/>
          <w:tab w:leader="none" w:pos="4778" w:val="left"/>
          <w:tab w:leader="none" w:pos="5797" w:val="left"/>
          <w:tab w:leader="none" w:pos="7289" w:val="left"/>
          <w:tab w:leader="none" w:pos="7928" w:val="left"/>
          <w:tab w:leader="none" w:pos="8798" w:val="left"/>
        </w:tabs>
        <w:ind w:firstLine="851" w:left="0"/>
        <w:jc w:val="both"/>
        <w:rPr>
          <w:i w:val="1"/>
          <w:sz w:val="28"/>
        </w:rPr>
      </w:pPr>
      <w:r>
        <w:rPr>
          <w:b w:val="1"/>
          <w:i w:val="1"/>
          <w:sz w:val="28"/>
        </w:rPr>
        <w:t>ПОМНИТЕ</w:t>
      </w:r>
      <w:r>
        <w:rPr>
          <w:i w:val="1"/>
          <w:sz w:val="28"/>
        </w:rPr>
        <w:t>: работодатель не вправе требовать от лица,</w:t>
      </w:r>
      <w:r>
        <w:rPr>
          <w:i w:val="1"/>
          <w:spacing w:val="-1"/>
          <w:sz w:val="28"/>
        </w:rPr>
        <w:t xml:space="preserve"> поступающего </w:t>
      </w:r>
      <w:r>
        <w:rPr>
          <w:i w:val="1"/>
          <w:sz w:val="28"/>
        </w:rPr>
        <w:t>на работу, документы, не предусмотренные законодательством России.</w:t>
      </w:r>
    </w:p>
    <w:p w14:paraId="48000000">
      <w:pPr>
        <w:pStyle w:val="Style_1"/>
        <w:ind w:firstLine="851" w:left="0"/>
        <w:jc w:val="both"/>
        <w:rPr>
          <w:i w:val="1"/>
        </w:rPr>
      </w:pPr>
    </w:p>
    <w:p w14:paraId="49000000">
      <w:pPr>
        <w:pStyle w:val="Style_6"/>
        <w:ind w:firstLine="851" w:left="0"/>
        <w:jc w:val="center"/>
      </w:pPr>
      <w:r>
        <w:t>3. Заключение трудового договора с иностранцем (статьи 57, 327.1, 327.2 Трудового кодекса Российской Федерации):</w:t>
      </w:r>
    </w:p>
    <w:p w14:paraId="4A000000">
      <w:pPr>
        <w:pStyle w:val="Style_6"/>
        <w:ind w:firstLine="851" w:left="0"/>
        <w:jc w:val="center"/>
        <w:rPr>
          <w:b w:val="0"/>
        </w:rPr>
      </w:pPr>
    </w:p>
    <w:p w14:paraId="4B000000">
      <w:pPr>
        <w:pStyle w:val="Style_5"/>
        <w:tabs>
          <w:tab w:leader="none" w:pos="1036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Иностранный гражданин имеет право осуществлять трудовую деятельность в случае, если он достиг возраста восемнадцати лет, </w:t>
      </w:r>
      <w:r>
        <w:rPr>
          <w:sz w:val="28"/>
        </w:rPr>
        <w:t>при наличии разрешения на работу или патента</w:t>
      </w:r>
      <w:r>
        <w:rPr>
          <w:sz w:val="28"/>
        </w:rPr>
        <w:t>.</w:t>
      </w:r>
    </w:p>
    <w:p w14:paraId="4C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Указанный порядок не распространяется на иностранных граждан, указанных в </w:t>
      </w:r>
      <w:r>
        <w:rPr>
          <w:i w:val="1"/>
          <w:sz w:val="28"/>
        </w:rPr>
        <w:t>пункт</w:t>
      </w:r>
      <w:r>
        <w:rPr>
          <w:i w:val="1"/>
          <w:sz w:val="28"/>
        </w:rPr>
        <w:t xml:space="preserve">е </w:t>
      </w:r>
      <w:r>
        <w:rPr>
          <w:i w:val="1"/>
          <w:sz w:val="28"/>
        </w:rPr>
        <w:t>4 статьи 13 Закона Федерального закона от 25 июля 2002 года №</w:t>
      </w:r>
      <w:r>
        <w:rPr>
          <w:i w:val="1"/>
          <w:sz w:val="28"/>
        </w:rPr>
        <w:t> </w:t>
      </w:r>
      <w:r>
        <w:rPr>
          <w:i w:val="1"/>
          <w:sz w:val="28"/>
        </w:rPr>
        <w:t>115-ФЗ «О правовом положении иностранных граждан в Российской Федерации».</w:t>
      </w:r>
    </w:p>
    <w:p w14:paraId="4D000000">
      <w:pPr>
        <w:pStyle w:val="Style_5"/>
        <w:tabs>
          <w:tab w:leader="none" w:pos="1036" w:val="left"/>
        </w:tabs>
        <w:ind w:firstLine="851" w:left="0"/>
        <w:jc w:val="both"/>
        <w:rPr>
          <w:sz w:val="28"/>
        </w:rPr>
      </w:pPr>
      <w:r>
        <w:rPr>
          <w:sz w:val="28"/>
        </w:rPr>
        <w:t>Трудовой договор заключается на русском языке и при необходимости может быть переведен на понятный иностранному гражданину язык.</w:t>
      </w:r>
    </w:p>
    <w:p w14:paraId="4E000000">
      <w:pPr>
        <w:pStyle w:val="Style_6"/>
        <w:ind w:firstLine="851" w:left="0"/>
        <w:jc w:val="both"/>
        <w:rPr>
          <w:b w:val="0"/>
        </w:rPr>
      </w:pPr>
      <w:r>
        <w:rPr>
          <w:b w:val="0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 w14:paraId="4F000000">
      <w:pPr>
        <w:pStyle w:val="Style_6"/>
        <w:ind w:firstLine="851" w:left="0"/>
        <w:jc w:val="both"/>
      </w:pPr>
    </w:p>
    <w:p w14:paraId="50000000">
      <w:pPr>
        <w:ind w:firstLine="851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Однако дополнительно необходимо включить в трудовой договор:</w:t>
      </w:r>
    </w:p>
    <w:p w14:paraId="51000000">
      <w:pPr>
        <w:ind w:firstLine="851" w:left="0"/>
        <w:jc w:val="both"/>
        <w:rPr>
          <w:b w:val="1"/>
          <w:i w:val="1"/>
          <w:sz w:val="28"/>
        </w:rPr>
      </w:pPr>
    </w:p>
    <w:p w14:paraId="52000000">
      <w:pPr>
        <w:pStyle w:val="Style_6"/>
        <w:numPr>
          <w:ilvl w:val="0"/>
          <w:numId w:val="3"/>
        </w:numPr>
        <w:ind w:firstLine="851" w:left="0"/>
        <w:jc w:val="both"/>
      </w:pPr>
      <w:r>
        <w:t>для иностранцев, временно пребывающих на территории России:</w:t>
      </w:r>
    </w:p>
    <w:p w14:paraId="53000000">
      <w:pPr>
        <w:pStyle w:val="Style_6"/>
        <w:numPr>
          <w:numId w:val="4"/>
        </w:numPr>
        <w:ind/>
        <w:jc w:val="both"/>
      </w:pPr>
      <w:r>
        <w:t>сведения о разрешении на работу или патенте;</w:t>
      </w:r>
    </w:p>
    <w:p w14:paraId="54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Пояснение:</w:t>
      </w:r>
    </w:p>
    <w:p w14:paraId="55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Если для получения разрешения на работу необходимо заключить трудовой договор, то в него не получится сразу внести сведения о разрешении. Согласно правилам, установленным ч. 3 ст. 57 ТК РФ, указанные сведения вносятся в трудовой договор после получения разрешения на работу. При этом договор вступает в силу </w:t>
      </w:r>
      <w:r>
        <w:rPr>
          <w:i w:val="1"/>
          <w:sz w:val="28"/>
        </w:rPr>
        <w:t>не ранее дня получения разрешения на работу.</w:t>
      </w:r>
    </w:p>
    <w:p w14:paraId="56000000">
      <w:pPr>
        <w:pStyle w:val="Style_5"/>
        <w:numPr>
          <w:numId w:val="5"/>
        </w:numPr>
        <w:tabs>
          <w:tab w:leader="none" w:pos="883" w:val="left"/>
        </w:tabs>
        <w:ind/>
        <w:jc w:val="both"/>
        <w:rPr>
          <w:sz w:val="28"/>
        </w:rPr>
      </w:pPr>
      <w:r>
        <w:rPr>
          <w:sz w:val="28"/>
        </w:rPr>
        <w:t>условие о предоставлении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мед. организацией на предоставление работнику платных мед. услуг.</w:t>
      </w:r>
    </w:p>
    <w:p w14:paraId="57000000">
      <w:pPr>
        <w:pStyle w:val="Style_1"/>
        <w:ind w:firstLine="851" w:left="0"/>
        <w:jc w:val="both"/>
        <w:rPr>
          <w:sz w:val="16"/>
        </w:rPr>
      </w:pPr>
    </w:p>
    <w:p w14:paraId="58000000">
      <w:pPr>
        <w:pStyle w:val="Style_6"/>
        <w:numPr>
          <w:ilvl w:val="0"/>
          <w:numId w:val="3"/>
        </w:numPr>
        <w:ind w:firstLine="851" w:left="0"/>
        <w:jc w:val="both"/>
      </w:pPr>
      <w:r>
        <w:t>для иностранцев, временно проживающих на территории России:</w:t>
      </w:r>
    </w:p>
    <w:p w14:paraId="59000000">
      <w:pPr>
        <w:pStyle w:val="Style_5"/>
        <w:numPr>
          <w:ilvl w:val="0"/>
          <w:numId w:val="6"/>
        </w:numPr>
        <w:tabs>
          <w:tab w:leader="none" w:pos="837" w:val="left"/>
        </w:tabs>
        <w:ind w:firstLine="851" w:left="0"/>
        <w:jc w:val="both"/>
        <w:rPr>
          <w:sz w:val="28"/>
        </w:rPr>
      </w:pPr>
      <w:r>
        <w:rPr>
          <w:sz w:val="28"/>
        </w:rPr>
        <w:t>сведения о разрешении на временное проживание в России.</w:t>
      </w:r>
    </w:p>
    <w:p w14:paraId="5A000000">
      <w:pPr>
        <w:pStyle w:val="Style_5"/>
        <w:tabs>
          <w:tab w:leader="none" w:pos="837" w:val="left"/>
        </w:tabs>
        <w:ind w:firstLine="851" w:left="0"/>
        <w:jc w:val="both"/>
        <w:rPr>
          <w:sz w:val="28"/>
        </w:rPr>
      </w:pPr>
    </w:p>
    <w:p w14:paraId="5B000000">
      <w:pPr>
        <w:pStyle w:val="Style_6"/>
        <w:numPr>
          <w:ilvl w:val="0"/>
          <w:numId w:val="3"/>
        </w:numPr>
        <w:ind w:firstLine="851" w:left="0"/>
        <w:jc w:val="both"/>
      </w:pPr>
      <w:r>
        <w:t>для иностранцев, постоянно</w:t>
      </w:r>
      <w:r>
        <w:tab/>
      </w:r>
      <w:r>
        <w:t>проживающих на территории России:</w:t>
      </w:r>
    </w:p>
    <w:p w14:paraId="5C000000">
      <w:pPr>
        <w:pStyle w:val="Style_5"/>
        <w:numPr>
          <w:ilvl w:val="0"/>
          <w:numId w:val="6"/>
        </w:numPr>
        <w:tabs>
          <w:tab w:leader="none" w:pos="837" w:val="left"/>
        </w:tabs>
        <w:ind w:firstLine="851" w:left="0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 w14:paraId="5D000000">
      <w:pPr>
        <w:pStyle w:val="Style_1"/>
        <w:ind w:firstLine="851" w:left="0"/>
        <w:jc w:val="both"/>
        <w:rPr>
          <w:sz w:val="22"/>
        </w:rPr>
      </w:pPr>
    </w:p>
    <w:p w14:paraId="5E000000">
      <w:pPr>
        <w:pStyle w:val="Style_6"/>
        <w:ind w:firstLine="851" w:left="0"/>
        <w:jc w:val="center"/>
      </w:pPr>
      <w:r>
        <w:t>3.1 Срок трудового договора с иностранным гражданином:</w:t>
      </w:r>
    </w:p>
    <w:p w14:paraId="5F000000">
      <w:pPr>
        <w:pStyle w:val="Style_6"/>
        <w:ind w:firstLine="851" w:left="0"/>
        <w:jc w:val="center"/>
      </w:pPr>
    </w:p>
    <w:p w14:paraId="60000000">
      <w:pPr>
        <w:pStyle w:val="Style_1"/>
        <w:ind w:firstLine="851" w:left="0"/>
        <w:jc w:val="both"/>
      </w:pPr>
      <w:r>
        <w:t>Трудовой договор с иностранцем может быть заключен как на определенный срок, так и бессрочно.</w:t>
      </w:r>
    </w:p>
    <w:p w14:paraId="61000000">
      <w:pPr>
        <w:pStyle w:val="Style_1"/>
        <w:tabs>
          <w:tab w:leader="none" w:pos="1574" w:val="left"/>
          <w:tab w:leader="none" w:pos="2375" w:val="left"/>
          <w:tab w:leader="none" w:pos="3646" w:val="left"/>
          <w:tab w:leader="none" w:pos="4993" w:val="left"/>
          <w:tab w:leader="none" w:pos="6182" w:val="left"/>
          <w:tab w:leader="none" w:pos="7908" w:val="left"/>
          <w:tab w:leader="none" w:pos="8953" w:val="left"/>
          <w:tab w:leader="none" w:pos="9325" w:val="left"/>
        </w:tabs>
        <w:ind w:firstLine="851" w:left="0"/>
        <w:jc w:val="both"/>
      </w:pPr>
      <w:r>
        <w:t>При</w:t>
      </w:r>
      <w:r>
        <w:tab/>
      </w:r>
      <w:r>
        <w:t>этом</w:t>
      </w:r>
      <w:r>
        <w:tab/>
      </w:r>
      <w:r>
        <w:t>срочный</w:t>
      </w:r>
      <w:r>
        <w:tab/>
      </w:r>
      <w:r>
        <w:t>трудовой</w:t>
      </w:r>
      <w:r>
        <w:tab/>
      </w:r>
      <w:r>
        <w:t>договор</w:t>
      </w:r>
      <w:r>
        <w:tab/>
      </w:r>
      <w:r>
        <w:t>заключается</w:t>
      </w:r>
      <w:r>
        <w:tab/>
      </w:r>
      <w:r>
        <w:t>только</w:t>
      </w:r>
      <w:r>
        <w:tab/>
      </w:r>
      <w:r>
        <w:t>в</w:t>
      </w:r>
      <w:r>
        <w:tab/>
      </w:r>
      <w:r>
        <w:rPr>
          <w:spacing w:val="-1"/>
        </w:rPr>
        <w:t xml:space="preserve">случаях, </w:t>
      </w:r>
      <w:r>
        <w:t>предусмотренных статьей 59 Трудового кодекса Российской Федерации.</w:t>
      </w:r>
    </w:p>
    <w:p w14:paraId="62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Пояснение:</w:t>
      </w:r>
    </w:p>
    <w:p w14:paraId="63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 w:val="1"/>
          <w:spacing w:val="-1"/>
          <w:sz w:val="28"/>
        </w:rPr>
        <w:t>в</w:t>
      </w:r>
      <w:r>
        <w:rPr>
          <w:i w:val="1"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 w14:paraId="64000000">
      <w:pPr>
        <w:pStyle w:val="Style_1"/>
        <w:ind w:firstLine="851" w:left="0"/>
        <w:jc w:val="both"/>
        <w:rPr>
          <w:i w:val="1"/>
          <w:sz w:val="16"/>
        </w:rPr>
      </w:pPr>
    </w:p>
    <w:p w14:paraId="65000000">
      <w:pPr>
        <w:pStyle w:val="Style_6"/>
        <w:ind w:firstLine="851" w:left="0"/>
        <w:jc w:val="center"/>
      </w:pPr>
      <w:r>
        <w:t>3.2 Уведомление о заключении трудовых договоров с иностранными гражданами:</w:t>
      </w:r>
    </w:p>
    <w:p w14:paraId="66000000">
      <w:pPr>
        <w:pStyle w:val="Style_6"/>
        <w:ind w:firstLine="851" w:left="0"/>
        <w:jc w:val="center"/>
      </w:pPr>
    </w:p>
    <w:p w14:paraId="67000000">
      <w:pPr>
        <w:pStyle w:val="Style_1"/>
        <w:ind w:firstLine="851" w:left="0"/>
        <w:jc w:val="both"/>
      </w:pPr>
      <w:r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трудятся.</w:t>
      </w:r>
    </w:p>
    <w:p w14:paraId="68000000">
      <w:pPr>
        <w:pStyle w:val="Style_1"/>
        <w:ind w:firstLine="851" w:left="0"/>
        <w:jc w:val="both"/>
      </w:pPr>
      <w:r>
        <w:t>Уведомление необходимо представить не позднее трех рабочих дней с даты заключения трудового договора.</w:t>
      </w:r>
    </w:p>
    <w:p w14:paraId="69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Пояснение:</w:t>
      </w:r>
    </w:p>
    <w:p w14:paraId="6A000000">
      <w:pPr>
        <w:ind w:firstLine="851" w:left="0"/>
        <w:jc w:val="both"/>
        <w:rPr>
          <w:i w:val="1"/>
          <w:sz w:val="28"/>
        </w:rPr>
      </w:pPr>
      <w:r>
        <w:rPr>
          <w:i w:val="1"/>
          <w:sz w:val="28"/>
        </w:rPr>
        <w:t>Форма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утверждена Приложением № 7 к приказу МВД России от 30 июля 2020 года № 536.</w:t>
      </w:r>
    </w:p>
    <w:p w14:paraId="6B000000">
      <w:pPr>
        <w:ind w:firstLine="851" w:left="0"/>
        <w:jc w:val="both"/>
        <w:rPr>
          <w:i w:val="1"/>
          <w:sz w:val="28"/>
        </w:rPr>
      </w:pPr>
    </w:p>
    <w:p w14:paraId="6C000000">
      <w:pPr>
        <w:pStyle w:val="Style_6"/>
        <w:ind w:firstLine="851" w:left="0"/>
        <w:jc w:val="center"/>
      </w:pPr>
      <w:r>
        <w:t>4. Портал «Госуслуги»</w:t>
      </w:r>
    </w:p>
    <w:p w14:paraId="6D000000">
      <w:pPr>
        <w:pStyle w:val="Style_6"/>
        <w:ind w:firstLine="851" w:left="0"/>
        <w:jc w:val="center"/>
      </w:pPr>
    </w:p>
    <w:p w14:paraId="6E000000">
      <w:pPr>
        <w:pStyle w:val="Style_6"/>
        <w:ind w:firstLine="851" w:left="0"/>
        <w:jc w:val="both"/>
        <w:rPr>
          <w:b w:val="0"/>
        </w:rPr>
      </w:pPr>
      <w:r>
        <w:rPr>
          <w:b w:val="0"/>
        </w:rPr>
        <w:t>В соответствии с законодательством Российской Федерации портал госуслуг (https://esia.gosuslugi.ru) предоставляет информацию об услугах и ведомствах из федерального реестра услуг.</w:t>
      </w:r>
    </w:p>
    <w:p w14:paraId="6F000000">
      <w:pPr>
        <w:pStyle w:val="Style_6"/>
        <w:ind w:firstLine="851" w:left="0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14:paraId="70000000">
      <w:pPr>
        <w:pStyle w:val="Style_6"/>
        <w:numPr>
          <w:ilvl w:val="3"/>
          <w:numId w:val="7"/>
        </w:numPr>
        <w:ind/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14:paraId="71000000">
      <w:pPr>
        <w:pStyle w:val="Style_6"/>
        <w:numPr>
          <w:ilvl w:val="3"/>
          <w:numId w:val="7"/>
        </w:numPr>
        <w:ind/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документов;</w:t>
      </w:r>
    </w:p>
    <w:p w14:paraId="72000000">
      <w:pPr>
        <w:pStyle w:val="Style_6"/>
        <w:numPr>
          <w:ilvl w:val="3"/>
          <w:numId w:val="7"/>
        </w:numPr>
        <w:ind/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14:paraId="73000000">
      <w:pPr>
        <w:pStyle w:val="Style_6"/>
        <w:ind w:firstLine="851" w:left="0"/>
        <w:jc w:val="both"/>
        <w:rPr>
          <w:b w:val="0"/>
        </w:rPr>
      </w:pPr>
      <w:r>
        <w:rPr>
          <w:b w:val="0"/>
        </w:rPr>
        <w:t xml:space="preserve">После регистрации на портале необходимо активировать свою учетную запись. Сделать это возможно только лично в любом офисе МФЦ при предъявлении </w:t>
      </w:r>
      <w:r>
        <w:rPr>
          <w:b w:val="0"/>
        </w:rPr>
        <w:t xml:space="preserve">документа, удостоверяющего личность и СНИЛС. </w:t>
      </w:r>
    </w:p>
    <w:p w14:paraId="74000000">
      <w:pPr>
        <w:pStyle w:val="Style_6"/>
        <w:ind w:firstLine="851" w:left="0"/>
        <w:jc w:val="both"/>
        <w:rPr>
          <w:b w:val="0"/>
        </w:rPr>
      </w:pPr>
    </w:p>
    <w:p w14:paraId="75000000">
      <w:pPr>
        <w:pStyle w:val="Style_6"/>
        <w:ind w:firstLine="851" w:left="0"/>
        <w:jc w:val="center"/>
      </w:pPr>
      <w:r>
        <w:t>5. Брак и семья</w:t>
      </w:r>
    </w:p>
    <w:p w14:paraId="76000000">
      <w:pPr>
        <w:pStyle w:val="Style_6"/>
        <w:ind w:firstLine="851" w:left="0"/>
        <w:jc w:val="center"/>
      </w:pP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Заключение брака подлежит государственной регистрации, порядок которой установлен Федеральным законом от 15.11.1997 № 143-ФЗ «Об актах гражданского состояния». 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смерть, перемена имени) осуществляется уполномоченными органами ЗАГС.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Государственную регистрацию актов гражданского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 органах записи актов гражданского состояния Ростовской области»). </w:t>
      </w:r>
    </w:p>
    <w:p w14:paraId="7E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</w:r>
      <w:r>
        <w:rPr>
          <w:sz w:val="28"/>
        </w:rPr>
        <w:t>в г. Ростове-на-Дону, 12 – в городских округах, 42 – в муниципальных районах).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Контроль деятельности органов ЗАГС области осуществляет управление ЗАГС Ростовской области (г. Ростов-на-Дону, ул. Пушкинская, 91/70, тел. 240-95-98).</w:t>
      </w:r>
    </w:p>
    <w:p w14:paraId="80000000">
      <w:pPr>
        <w:pStyle w:val="Style_6"/>
        <w:ind w:firstLine="851" w:left="0"/>
        <w:jc w:val="both"/>
        <w:rPr>
          <w:b w:val="0"/>
        </w:rPr>
      </w:pPr>
    </w:p>
    <w:p w14:paraId="81000000">
      <w:pPr>
        <w:pStyle w:val="Style_6"/>
        <w:ind w:firstLine="851" w:left="0"/>
        <w:jc w:val="center"/>
      </w:pPr>
      <w:r>
        <w:t>6. Вопросы гражданства</w:t>
      </w:r>
    </w:p>
    <w:p w14:paraId="82000000">
      <w:pPr>
        <w:pStyle w:val="Style_6"/>
        <w:ind w:firstLine="851" w:left="0"/>
        <w:jc w:val="center"/>
      </w:pPr>
    </w:p>
    <w:p w14:paraId="83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"consultantplus://offline/ref=7C880F3E47EFC9D3EC95CFBD7EC34B49AB4FA754B535FC9EC3D691BF8D72E5C18FE335776F9BCE19125C4DC0E449BF5A0D7914C1AEBBoF6BE"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31.05.2002 № 62-ФЗ «О гражданстве Российской Федерации»</w:t>
      </w:r>
      <w:r>
        <w:rPr>
          <w:rFonts w:ascii="Times New Roman" w:hAnsi="Times New Roman"/>
          <w:sz w:val="28"/>
        </w:rPr>
        <w:t>, а также принимаемыми в соответствии с ними другими нормативными правовыми актами Российской Федерации.</w:t>
      </w:r>
    </w:p>
    <w:p w14:paraId="84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14:paraId="85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</w:t>
      </w:r>
      <w:r>
        <w:rPr>
          <w:rFonts w:ascii="Times New Roman" w:hAnsi="Times New Roman"/>
          <w:sz w:val="28"/>
        </w:rPr>
        <w:t>органы, ведающие делами о 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</w:p>
    <w:p w14:paraId="86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 w14:paraId="87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Style_8_ch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</w:t>
      </w:r>
    </w:p>
    <w:p w14:paraId="88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внутренних дел по месту жительства.</w:t>
      </w:r>
    </w:p>
    <w:p w14:paraId="89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"http://www.61.мвд.рф"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www.61.мвд.рф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 Также на официальном сайте ГУ МВД России по Ростовской области размещена исчерпывающая информация по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 w14:paraId="8A000000">
      <w:pPr>
        <w:pStyle w:val="Style_7"/>
        <w:ind w:firstLine="567" w:left="0"/>
        <w:jc w:val="both"/>
        <w:rPr>
          <w:rFonts w:ascii="Times New Roman" w:hAnsi="Times New Roman"/>
          <w:sz w:val="28"/>
        </w:rPr>
      </w:pPr>
    </w:p>
    <w:p w14:paraId="8B000000">
      <w:pPr>
        <w:pStyle w:val="Style_6"/>
        <w:ind w:firstLine="851" w:left="0"/>
        <w:jc w:val="center"/>
      </w:pPr>
      <w:r>
        <w:t>7. Миграционный учет иностранных граждан</w:t>
      </w:r>
    </w:p>
    <w:p w14:paraId="8C000000">
      <w:pPr>
        <w:pStyle w:val="Style_6"/>
        <w:ind w:firstLine="851" w:left="0"/>
        <w:jc w:val="both"/>
        <w:rPr>
          <w:b w:val="0"/>
        </w:rPr>
      </w:pP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установленной формы о прибытии иностранного гражданина или лица без гражданства в место пребывания.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учете иностранных граждан и лиц без гражданства в Российской Федерации». 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</w:t>
      </w:r>
      <w:r>
        <w:rPr>
          <w:sz w:val="28"/>
        </w:rPr>
        <w:t>фактического проживания иностранному гражданину или лицу без гражданства.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представляемому, лично в подразделение по вопросам миграции непосредственно либо через многофункциональный центр, прилагает: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 (или) имеются отметки о пересечении Государственной границы Российской Федерации либо иного иностранного государства.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- копию документа, подтверждающего право пользования жилым или иным помещением, предоставляемым иностранному гражданину для фактического проживания.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вышеуказанных копий документов, прилагает: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>-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- письмо руководителя организации или иного 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В случае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с даты его въезда в 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 неисполнения принимающей стороной обязанностей по постановке на </w:t>
      </w:r>
      <w:r>
        <w:rPr>
          <w:sz w:val="28"/>
        </w:rPr>
        <w:t>миграционный учет по месту пребывания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Российской Федерации.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установленных федеральным органом исполнительной власти в сфере внутренних дел.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дактилоскопической регистрации и фотографирования.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 w14:paraId="A1000000">
      <w:pPr>
        <w:pStyle w:val="Style_6"/>
        <w:ind w:firstLine="851" w:left="0"/>
        <w:jc w:val="both"/>
        <w:rPr>
          <w:b w:val="0"/>
        </w:rPr>
      </w:pPr>
    </w:p>
    <w:p w14:paraId="A2000000">
      <w:pPr>
        <w:pStyle w:val="Style_6"/>
        <w:ind w:firstLine="851" w:left="0"/>
        <w:jc w:val="center"/>
      </w:pPr>
      <w:r>
        <w:t>8. Информация для работодателей, привлекающих иностранных граждан для осуществления трудовой деятельности на территории Ростовской области</w:t>
      </w:r>
    </w:p>
    <w:p w14:paraId="A3000000">
      <w:pPr>
        <w:pStyle w:val="Style_7"/>
        <w:ind/>
        <w:jc w:val="both"/>
        <w:rPr>
          <w:rFonts w:ascii="Times New Roman" w:hAnsi="Times New Roman"/>
          <w:b w:val="1"/>
          <w:sz w:val="28"/>
          <w:u w:val="single"/>
        </w:rPr>
      </w:pP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Определение правового статуса иностранного гражданина и 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 w14:paraId="A6000000">
      <w:pPr>
        <w:pStyle w:val="Style_7"/>
        <w:ind w:firstLine="0" w:left="-490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9"/>
        <w:tblInd w:type="dxa" w:w="817"/>
        <w:tblLayout w:type="fixed"/>
      </w:tblPr>
      <w:tblGrid>
        <w:gridCol w:w="2676"/>
        <w:gridCol w:w="4085"/>
        <w:gridCol w:w="2912"/>
      </w:tblGrid>
      <w:tr>
        <w:trPr>
          <w:trHeight w:hRule="atLeast" w:val="543"/>
        </w:trPr>
        <w:tc>
          <w:tcPr>
            <w:tcW w:type="dxa" w:w="9673"/>
            <w:gridSpan w:val="3"/>
          </w:tcPr>
          <w:p w14:paraId="A7000000">
            <w:pPr>
              <w:pStyle w:val="Style_5"/>
              <w:spacing w:before="120"/>
              <w:ind w:firstLine="0" w:left="-108" w:right="-10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Категории иностранных граждан</w:t>
            </w:r>
          </w:p>
        </w:tc>
      </w:tr>
      <w:tr>
        <w:tc>
          <w:tcPr>
            <w:tcW w:type="dxa" w:w="2676"/>
          </w:tcPr>
          <w:p w14:paraId="A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Категории иностранных граждан</w:t>
            </w:r>
          </w:p>
        </w:tc>
        <w:tc>
          <w:tcPr>
            <w:tcW w:type="dxa" w:w="4085"/>
          </w:tcPr>
          <w:p w14:paraId="A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Перечень документов, подтверждающих законное нахождение на территории Российской Федерации</w:t>
            </w:r>
          </w:p>
        </w:tc>
        <w:tc>
          <w:tcPr>
            <w:tcW w:type="dxa" w:w="2912"/>
          </w:tcPr>
          <w:p w14:paraId="AA000000">
            <w:pPr>
              <w:ind w:right="-10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>
        <w:tc>
          <w:tcPr>
            <w:tcW w:type="dxa" w:w="2676"/>
          </w:tcPr>
          <w:p w14:paraId="A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Временно пребывающие</w:t>
            </w:r>
          </w:p>
        </w:tc>
        <w:tc>
          <w:tcPr>
            <w:tcW w:type="dxa" w:w="4085"/>
          </w:tcPr>
          <w:p w14:paraId="AC000000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 с отметкой о пересечении Государственной границы РФ </w:t>
            </w:r>
            <w:r>
              <w:rPr>
                <w:sz w:val="28"/>
              </w:rPr>
              <w:t>(дата пересечения и пункт пограничного контроля)</w:t>
            </w:r>
            <w:r>
              <w:rPr>
                <w:rStyle w:val="Style_8_ch"/>
                <w:sz w:val="28"/>
              </w:rPr>
              <w:footnoteReference w:id="2"/>
            </w:r>
            <w:r>
              <w:rPr>
                <w:sz w:val="28"/>
              </w:rPr>
              <w:t xml:space="preserve">; </w:t>
            </w:r>
          </w:p>
          <w:p w14:paraId="AE000000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type="dxa" w:w="2912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c>
          <w:tcPr>
            <w:tcW w:type="dxa" w:w="2676"/>
          </w:tcPr>
          <w:p w14:paraId="B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Трудовые мигранты, прибывшие из других субъектов РФ</w:t>
            </w:r>
          </w:p>
        </w:tc>
        <w:tc>
          <w:tcPr>
            <w:tcW w:type="dxa" w:w="4085"/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14:paraId="B4000000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14:paraId="B5000000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 w14:paraId="B6000000">
            <w:pPr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type="dxa" w:w="2912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c>
          <w:tcPr>
            <w:tcW w:type="dxa" w:w="2676"/>
          </w:tcPr>
          <w:p w14:paraId="B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Временно проживающие (РВП)</w:t>
            </w:r>
          </w:p>
        </w:tc>
        <w:tc>
          <w:tcPr>
            <w:tcW w:type="dxa" w:w="4085"/>
          </w:tcPr>
          <w:p w14:paraId="BB000000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14:paraId="BC000000">
            <w:pPr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type="dxa" w:w="2912"/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РВП и регистрации по месту жительства.</w:t>
            </w:r>
          </w:p>
          <w:p w14:paraId="B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>
        <w:trPr>
          <w:trHeight w:hRule="atLeast" w:val="1524"/>
        </w:trPr>
        <w:tc>
          <w:tcPr>
            <w:tcW w:type="dxa" w:w="2676"/>
          </w:tcPr>
          <w:p w14:paraId="B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Постоянно проживающие (ВНЖ)</w:t>
            </w:r>
          </w:p>
        </w:tc>
        <w:tc>
          <w:tcPr>
            <w:tcW w:type="dxa" w:w="4085"/>
          </w:tcPr>
          <w:p w14:paraId="C0000000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14:paraId="C1000000">
            <w:pPr>
              <w:rPr>
                <w:sz w:val="28"/>
              </w:rPr>
            </w:pPr>
            <w:r>
              <w:rPr>
                <w:sz w:val="28"/>
              </w:rPr>
              <w:t xml:space="preserve">- Вид на жительство, в котором проставлен штамп о регистрации по месту жительства. </w:t>
            </w:r>
          </w:p>
        </w:tc>
        <w:tc>
          <w:tcPr>
            <w:tcW w:type="dxa" w:w="2912"/>
          </w:tcPr>
          <w:p w14:paraId="C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>
        <w:tc>
          <w:tcPr>
            <w:tcW w:type="dxa" w:w="2676"/>
          </w:tcPr>
          <w:p w14:paraId="C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type="dxa" w:w="4085"/>
          </w:tcPr>
          <w:p w14:paraId="C4000000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14:paraId="C5000000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14:paraId="C6000000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 w14:paraId="C7000000">
            <w:pPr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type="dxa" w:w="2912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>
        <w:trPr>
          <w:trHeight w:hRule="atLeast" w:val="2180"/>
        </w:trPr>
        <w:tc>
          <w:tcPr>
            <w:tcW w:type="dxa" w:w="2676"/>
          </w:tcPr>
          <w:p w14:paraId="C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type="dxa" w:w="4085"/>
          </w:tcPr>
          <w:p w14:paraId="CC000000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14:paraId="CD000000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14:paraId="CE000000">
            <w:pPr>
              <w:tabs>
                <w:tab w:leader="none" w:pos="263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type="dxa" w:w="2912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>
        <w:tc>
          <w:tcPr>
            <w:tcW w:type="dxa" w:w="2676"/>
          </w:tcPr>
          <w:p w14:paraId="D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type="dxa" w:w="4085"/>
          </w:tcPr>
          <w:p w14:paraId="D3000000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удостоверение личности (пластиковая карта);</w:t>
            </w:r>
          </w:p>
          <w:p w14:paraId="D4000000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14:paraId="D5000000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type="dxa" w:w="2912"/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 w14:paraId="D9000000">
      <w:pPr>
        <w:ind w:firstLine="709" w:left="0"/>
        <w:jc w:val="both"/>
        <w:rPr>
          <w:sz w:val="28"/>
        </w:rPr>
      </w:pP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документов:</w:t>
      </w:r>
    </w:p>
    <w:p w14:paraId="DB000000">
      <w:pPr>
        <w:ind w:firstLine="709" w:left="0"/>
        <w:jc w:val="both"/>
        <w:rPr>
          <w:sz w:val="28"/>
        </w:rPr>
      </w:pPr>
    </w:p>
    <w:tbl>
      <w:tblPr>
        <w:tblStyle w:val="Style_9"/>
        <w:tblInd w:type="dxa" w:w="817"/>
        <w:tblLayout w:type="fixed"/>
      </w:tblPr>
      <w:tblGrid>
        <w:gridCol w:w="2676"/>
        <w:gridCol w:w="6997"/>
      </w:tblGrid>
      <w:tr>
        <w:tc>
          <w:tcPr>
            <w:tcW w:type="dxa" w:w="2676"/>
            <w:vAlign w:val="center"/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type="dxa" w:w="6997"/>
            <w:vAlign w:val="center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Категория иностранных граждан</w:t>
            </w:r>
          </w:p>
        </w:tc>
      </w:tr>
      <w:tr>
        <w:tc>
          <w:tcPr>
            <w:tcW w:type="dxa" w:w="2676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sz w:val="28"/>
              </w:rPr>
              <w:footnoteReference w:id="3"/>
            </w:r>
          </w:p>
        </w:tc>
        <w:tc>
          <w:tcPr>
            <w:tcW w:type="dxa" w:w="6997"/>
          </w:tcPr>
          <w:p w14:paraId="DF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 w14:paraId="E0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14:paraId="E1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 w:val="1"/>
                <w:sz w:val="28"/>
              </w:rPr>
              <w:t>вне пределов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>
        <w:tc>
          <w:tcPr>
            <w:tcW w:type="dxa" w:w="2676"/>
            <w:vAlign w:val="center"/>
          </w:tcPr>
          <w:p w14:paraId="E2000000">
            <w:pPr>
              <w:pStyle w:val="Style_5"/>
              <w:spacing w:before="120"/>
              <w:ind w:firstLine="0" w:left="-108" w:right="-10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Подпункт 2 пункта 4 ст. 13 ФЗ № 115-ФЗ</w:t>
            </w:r>
          </w:p>
        </w:tc>
        <w:tc>
          <w:tcPr>
            <w:tcW w:type="dxa" w:w="6997"/>
            <w:vAlign w:val="center"/>
          </w:tcPr>
          <w:p w14:paraId="E3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>
        <w:tc>
          <w:tcPr>
            <w:tcW w:type="dxa" w:w="2676"/>
            <w:vAlign w:val="center"/>
          </w:tcPr>
          <w:p w14:paraId="E4000000">
            <w:pPr>
              <w:pStyle w:val="Style_5"/>
              <w:spacing w:before="120"/>
              <w:ind w:firstLine="0" w:left="-108" w:right="-10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Подпункт 12 пункта 4 ст. 13 ФЗ № 115-ФЗ</w:t>
            </w:r>
          </w:p>
        </w:tc>
        <w:tc>
          <w:tcPr>
            <w:tcW w:type="dxa" w:w="6997"/>
            <w:vAlign w:val="center"/>
          </w:tcPr>
          <w:p w14:paraId="E5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получившие временное убежище на территории Российской Федерации (подтверждается свидетельством ВУ), - до утраты ими временного убежища или лишения </w:t>
            </w:r>
            <w:r>
              <w:rPr>
                <w:rFonts w:ascii="Times New Roman" w:hAnsi="Times New Roman"/>
                <w:sz w:val="28"/>
              </w:rPr>
              <w:t>их временного убежища</w:t>
            </w:r>
          </w:p>
        </w:tc>
      </w:tr>
      <w:tr>
        <w:tc>
          <w:tcPr>
            <w:tcW w:type="dxa" w:w="2676"/>
            <w:vAlign w:val="center"/>
          </w:tcPr>
          <w:p w14:paraId="E6000000">
            <w:pPr>
              <w:pStyle w:val="Style_5"/>
              <w:spacing w:before="120"/>
              <w:ind w:firstLine="0" w:left="-108" w:right="-10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Статья 96 «Договор о Евразийском экономическом союзе» (подписан в г. Астане </w:t>
            </w:r>
          </w:p>
          <w:p w14:paraId="E7000000">
            <w:pPr>
              <w:pStyle w:val="Style_5"/>
              <w:spacing w:before="120"/>
              <w:ind w:firstLine="0" w:left="-108" w:right="-10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29.05.2014 г.)</w:t>
            </w:r>
          </w:p>
        </w:tc>
        <w:tc>
          <w:tcPr>
            <w:tcW w:type="dxa" w:w="6997"/>
            <w:vAlign w:val="center"/>
          </w:tcPr>
          <w:p w14:paraId="E8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граждане Белоруссии, Казахстана, Киргизии и Армении (из стран, входящих в таможенный союз стран ЕАЭС)</w:t>
            </w:r>
          </w:p>
        </w:tc>
      </w:tr>
    </w:tbl>
    <w:p w14:paraId="E9000000">
      <w:pPr>
        <w:ind w:firstLine="709" w:left="0"/>
        <w:jc w:val="both"/>
        <w:rPr>
          <w:sz w:val="28"/>
        </w:rPr>
      </w:pPr>
    </w:p>
    <w:p w14:paraId="EA000000">
      <w:pPr>
        <w:pStyle w:val="Style_7"/>
        <w:spacing w:before="12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 w:val="1"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14:paraId="EB000000">
      <w:pPr>
        <w:pStyle w:val="Style_7"/>
        <w:spacing w:before="12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привлечения мигранта для работы в Ростовской области из другого региона Российской Федерации, уже имеющего патент (требуется получение нового патента на территории Ростовской области):</w:t>
      </w:r>
    </w:p>
    <w:p w14:paraId="EC000000">
      <w:pPr>
        <w:pStyle w:val="Style_7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 w:val="1"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14:paraId="ED000000">
      <w:pPr>
        <w:pStyle w:val="Style_7"/>
        <w:numPr>
          <w:numId w:val="8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уточнить дату получения имеющихся у него медицинских документов (медицинское заключение (с отметкой об отсутствии COVID-19), сертификат об отсутствии ВИЧ - инфекции, справка об отсутствии наркомании), срок действия медицинских документов 3 месяца с даты выдачи;</w:t>
      </w:r>
    </w:p>
    <w:p w14:paraId="EE000000">
      <w:pPr>
        <w:pStyle w:val="Style_7"/>
        <w:ind/>
        <w:jc w:val="both"/>
        <w:rPr>
          <w:rFonts w:ascii="Times New Roman" w:hAnsi="Times New Roman"/>
          <w:sz w:val="28"/>
          <w:u w:val="single"/>
        </w:rPr>
      </w:pPr>
    </w:p>
    <w:p w14:paraId="EF000000">
      <w:pPr>
        <w:pStyle w:val="Style_7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 w:val="1"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организации.</w:t>
      </w:r>
    </w:p>
    <w:p w14:paraId="F000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F1000000">
      <w:pPr>
        <w:pStyle w:val="Style_7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период, за который уплачен фиксированный авансовый платеж);</w:t>
      </w:r>
    </w:p>
    <w:p w14:paraId="F2000000">
      <w:pPr>
        <w:pStyle w:val="Style_7"/>
        <w:ind w:firstLine="851" w:left="0"/>
        <w:jc w:val="both"/>
        <w:rPr>
          <w:rFonts w:ascii="Times New Roman" w:hAnsi="Times New Roman"/>
          <w:sz w:val="28"/>
        </w:rPr>
      </w:pPr>
    </w:p>
    <w:p w14:paraId="F3000000">
      <w:pPr>
        <w:pStyle w:val="Style_7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России. </w:t>
      </w:r>
    </w:p>
    <w:p w14:paraId="F4000000">
      <w:pPr>
        <w:pStyle w:val="Style_7"/>
        <w:ind w:firstLine="851" w:left="0"/>
        <w:jc w:val="both"/>
        <w:rPr>
          <w:rFonts w:ascii="Times New Roman" w:hAnsi="Times New Roman"/>
          <w:sz w:val="28"/>
        </w:rPr>
      </w:pPr>
    </w:p>
    <w:p w14:paraId="F5000000">
      <w:pPr>
        <w:pStyle w:val="Style_7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работодателя, так и для иностранного гражданина.</w:t>
      </w:r>
    </w:p>
    <w:p w14:paraId="F6000000">
      <w:pPr>
        <w:pStyle w:val="Style_7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14:paraId="F7000000">
      <w:pPr>
        <w:pStyle w:val="Style_7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</w:t>
      </w:r>
      <w:r>
        <w:rPr>
          <w:rFonts w:ascii="Times New Roman" w:hAnsi="Times New Roman"/>
          <w:sz w:val="26"/>
        </w:rPr>
        <w:t>административное приостановление деятельности на срок от четырнадцати до девяноста суток.</w:t>
      </w:r>
    </w:p>
    <w:p w14:paraId="F8000000">
      <w:pPr>
        <w:pStyle w:val="Style_7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14:paraId="F9000000">
      <w:pPr>
        <w:pStyle w:val="Style_7"/>
        <w:ind w:firstLine="851" w:left="0"/>
        <w:jc w:val="both"/>
        <w:rPr>
          <w:rFonts w:ascii="Times New Roman" w:hAnsi="Times New Roman"/>
          <w:sz w:val="26"/>
        </w:rPr>
      </w:pPr>
    </w:p>
    <w:p w14:paraId="FA000000">
      <w:pPr>
        <w:pStyle w:val="Style_7"/>
        <w:ind w:firstLine="851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При планировании привлечения к труду иностранного гражданина, находящегося за рубежом:</w:t>
      </w:r>
    </w:p>
    <w:p w14:paraId="FB000000">
      <w:pPr>
        <w:pStyle w:val="Style_7"/>
        <w:ind w:firstLine="417" w:left="0"/>
        <w:jc w:val="both"/>
        <w:rPr>
          <w:rFonts w:ascii="Times New Roman" w:hAnsi="Times New Roman"/>
          <w:b w:val="1"/>
          <w:sz w:val="28"/>
        </w:rPr>
      </w:pPr>
    </w:p>
    <w:p w14:paraId="FC00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 w:val="1"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патента), в противном случае заявление о выдаче патента принято не будет;</w:t>
      </w:r>
    </w:p>
    <w:p w14:paraId="FD00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14:paraId="FE00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14:paraId="FF00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14:paraId="00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14:paraId="01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Важно - </w:t>
      </w:r>
      <w:r>
        <w:rPr>
          <w:rFonts w:ascii="Times New Roman" w:hAnsi="Times New Roman"/>
          <w:b w:val="1"/>
          <w:sz w:val="28"/>
          <w:u w:val="single"/>
        </w:rPr>
        <w:t>07.06.2021 года</w:t>
      </w:r>
      <w:r>
        <w:rPr>
          <w:rFonts w:ascii="Times New Roman" w:hAnsi="Times New Roman"/>
          <w:b w:val="1"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окончания срока их действия.</w:t>
      </w:r>
    </w:p>
    <w:p w14:paraId="02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в паспорте (например: в паспорте Ш</w:t>
      </w:r>
      <w:r>
        <w:rPr>
          <w:rFonts w:ascii="Times New Roman" w:hAnsi="Times New Roman"/>
          <w:b w:val="1"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 w:val="1"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образовательных организациях.</w:t>
      </w:r>
    </w:p>
    <w:p w14:paraId="03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167/3 оф. 1 и ул. Чехова, 76. </w:t>
      </w:r>
    </w:p>
    <w:p w14:paraId="04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 w14:paraId="05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 w14:paraId="06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14:paraId="07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16"/>
        </w:rPr>
      </w:pPr>
    </w:p>
    <w:p w14:paraId="08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Важно – в миграционной карте иностранных граждан при въезде на территорию Российской Федерации должна быть указана цель визита - «Работа».</w:t>
      </w:r>
    </w:p>
    <w:p w14:paraId="09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0A010000">
      <w:pPr>
        <w:pStyle w:val="Style_7"/>
        <w:widowControl w:val="0"/>
        <w:ind w:firstLine="851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</w:t>
      </w:r>
      <w:r>
        <w:rPr>
          <w:rFonts w:ascii="Times New Roman" w:hAnsi="Times New Roman"/>
          <w:b w:val="1"/>
          <w:sz w:val="28"/>
        </w:rPr>
        <w:t xml:space="preserve"> Прибытие иностранных граждан на территорию Ростовской области и порядок постановки на миграционный учет</w:t>
      </w:r>
    </w:p>
    <w:p w14:paraId="0B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  <w:u w:val="single"/>
        </w:rPr>
      </w:pPr>
    </w:p>
    <w:p w14:paraId="0C010000">
      <w:pPr>
        <w:ind w:firstLine="851" w:left="0"/>
        <w:jc w:val="both"/>
        <w:rPr>
          <w:sz w:val="28"/>
        </w:rPr>
      </w:pPr>
      <w:r>
        <w:rPr>
          <w:sz w:val="28"/>
        </w:rPr>
        <w:t>В течении 7-ми рабочих дней после прибытия иностранцев необходимо поставить их на учет по месту пребывания (миграционный учет).</w:t>
      </w:r>
    </w:p>
    <w:p w14:paraId="0D010000">
      <w:pPr>
        <w:pStyle w:val="Style_5"/>
        <w:ind w:firstLine="851" w:left="0"/>
        <w:jc w:val="both"/>
        <w:rPr>
          <w:sz w:val="28"/>
        </w:rPr>
      </w:pPr>
      <w:r>
        <w:rPr>
          <w:b w:val="1"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отдыха).</w:t>
      </w:r>
    </w:p>
    <w:p w14:paraId="0E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14:paraId="0F010000">
      <w:pPr>
        <w:pStyle w:val="Style_5"/>
        <w:ind w:firstLine="851" w:left="0"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 xml:space="preserve">Важно -  по юридическому адресу организации постановка на миграционный учет осуществляется </w:t>
      </w:r>
      <w:r>
        <w:rPr>
          <w:b w:val="1"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14:paraId="10010000">
      <w:pPr>
        <w:ind w:firstLine="851" w:left="0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утверждены приказом МВД России от 10.12.2020 № 856.</w:t>
      </w:r>
    </w:p>
    <w:p w14:paraId="11010000">
      <w:pPr>
        <w:pStyle w:val="Style_5"/>
        <w:ind w:firstLine="851" w:left="0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на миграционный учет в отрывной части уведомления проставляется уполномоченным сотрудником незамедлительно в день обращения.</w:t>
      </w:r>
    </w:p>
    <w:p w14:paraId="12010000">
      <w:pPr>
        <w:ind w:firstLine="851" w:left="0"/>
        <w:jc w:val="both"/>
        <w:rPr>
          <w:sz w:val="28"/>
        </w:rPr>
      </w:pPr>
      <w:r>
        <w:rPr>
          <w:sz w:val="28"/>
        </w:rPr>
        <w:t>В случае утраты или порчи миграционной карты, иностранный гражданин должен обратиться в течение 3-х рабочих дней в подразделение по вопросам миграции с паспортом и въездными билетами, для получения дубликата миграционной карты. Дубликат выдается бесплатно.</w:t>
      </w:r>
    </w:p>
    <w:p w14:paraId="13010000">
      <w:pPr>
        <w:ind w:firstLine="851" w:left="0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проставленным сотрудниками пограничного контроля в паспорте.</w:t>
      </w:r>
    </w:p>
    <w:p w14:paraId="14010000">
      <w:pPr>
        <w:ind w:firstLine="851" w:left="0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 w14:paraId="15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случае убытия иностранного гражданина из места пребывания, уведомление об убытии представляется принимающей стороной </w:t>
      </w:r>
      <w:r>
        <w:rPr>
          <w:b w:val="1"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почтовым отправлением.</w:t>
      </w:r>
    </w:p>
    <w:p w14:paraId="16010000">
      <w:pPr>
        <w:ind w:firstLine="851" w:left="0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 w14:paraId="17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>В соответствии с частью 4 статьи 18.9 КРФобАП </w:t>
      </w:r>
      <w:r>
        <w:rPr>
          <w:sz w:val="28"/>
        </w:rPr>
        <w:t xml:space="preserve">- неисполнение принимающей стороной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"consultantplus://offline/ref=BAB443E48D324BCF3E74E7165C2A22101BAD8EEE9E9371C8C6A9EDC48BA7F4D060DA8153DBB49B35EE2CA528CE2B7B449B043CE9WBz4C"</w:instrText>
      </w:r>
      <w:r>
        <w:rPr>
          <w:sz w:val="28"/>
        </w:rPr>
        <w:fldChar w:fldCharType="separate"/>
      </w:r>
      <w:r>
        <w:rPr>
          <w:sz w:val="28"/>
        </w:rPr>
        <w:t>обязанностей</w:t>
      </w:r>
      <w:r>
        <w:rPr>
          <w:sz w:val="28"/>
        </w:rPr>
        <w:fldChar w:fldCharType="end"/>
      </w:r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14:paraId="18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>Примечание:</w:t>
      </w:r>
      <w:r>
        <w:rPr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14:paraId="19010000">
      <w:pPr>
        <w:pStyle w:val="Style_7"/>
        <w:widowControl w:val="0"/>
        <w:ind w:firstLine="0" w:left="851"/>
        <w:jc w:val="both"/>
        <w:rPr>
          <w:rFonts w:ascii="Times New Roman" w:hAnsi="Times New Roman"/>
          <w:sz w:val="28"/>
        </w:rPr>
      </w:pPr>
    </w:p>
    <w:p w14:paraId="1A010000">
      <w:pPr>
        <w:pStyle w:val="Style_7"/>
        <w:widowControl w:val="0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патента:</w:t>
      </w:r>
    </w:p>
    <w:p w14:paraId="1B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 w:val="1"/>
          <w:sz w:val="28"/>
          <w:u w:val="single"/>
        </w:rPr>
        <w:t xml:space="preserve">представляет лично </w:t>
      </w:r>
      <w:r>
        <w:rPr>
          <w:sz w:val="28"/>
        </w:rPr>
        <w:t>в отдел по вопросам трудовой миграции УВМ ГУ МВД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 w14:paraId="1C010000">
      <w:pPr>
        <w:pStyle w:val="Style_7"/>
        <w:widowControl w:val="0"/>
        <w:numPr>
          <w:ilvl w:val="0"/>
          <w:numId w:val="9"/>
        </w:numPr>
        <w:tabs>
          <w:tab w:leader="none" w:pos="851" w:val="left"/>
        </w:tabs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выдаче патента в одном экземпляре. (Приложение № 1 к приказу МВД РФ от 14 августа 2017 г. № 635).</w:t>
      </w:r>
    </w:p>
    <w:p w14:paraId="1D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"https://61.мвд.рф"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https://61.мвд.рф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).</w:t>
      </w:r>
    </w:p>
    <w:p w14:paraId="1E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14:paraId="1F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должны быть заполнены все необходимые графы, а также в верхнем углу вклеена фотография.</w:t>
      </w:r>
    </w:p>
    <w:p w14:paraId="20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14:paraId="21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14:paraId="22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качестве (паспорт со сроком действия не менее одного года на момент подачи заявления);</w:t>
      </w:r>
    </w:p>
    <w:p w14:paraId="23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 w14:paraId="24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 w14:paraId="25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14:paraId="26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об оформлении патента вправе предоставить:</w:t>
      </w:r>
    </w:p>
    <w:p w14:paraId="27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14:paraId="28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14:paraId="29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Квитанции об оплате налога за патент, выданный на территории другого субъекта РФ (в случае его действительности).</w:t>
      </w:r>
    </w:p>
    <w:p w14:paraId="2A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16"/>
        </w:rPr>
      </w:pPr>
    </w:p>
    <w:p w14:paraId="2B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16"/>
        </w:rPr>
      </w:pPr>
    </w:p>
    <w:p w14:paraId="2C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16"/>
        </w:rPr>
      </w:pPr>
    </w:p>
    <w:p w14:paraId="2D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 w:val="1"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14:paraId="2E010000">
      <w:pPr>
        <w:pStyle w:val="Style_7"/>
        <w:widowControl w:val="0"/>
        <w:ind w:firstLine="851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Срок предоставления государственной услуги. Выдача патента</w:t>
      </w:r>
    </w:p>
    <w:p w14:paraId="2F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</w:p>
    <w:p w14:paraId="30010000">
      <w:pPr>
        <w:pStyle w:val="Style_10"/>
        <w:widowControl w:val="0"/>
        <w:numPr>
          <w:ilvl w:val="0"/>
          <w:numId w:val="10"/>
        </w:numPr>
        <w:ind w:firstLine="851" w:left="0"/>
        <w:jc w:val="both"/>
        <w:rPr>
          <w:b w:val="1"/>
          <w:u w:val="single"/>
        </w:rPr>
      </w:pPr>
      <w:r>
        <w:rPr>
          <w:b w:val="1"/>
          <w:u w:val="single"/>
        </w:rPr>
        <w:t>Сроки предоставления государственной услуги:</w:t>
      </w:r>
    </w:p>
    <w:p w14:paraId="31010000">
      <w:pPr>
        <w:pStyle w:val="Style_10"/>
        <w:widowControl w:val="0"/>
        <w:ind w:firstLine="851" w:left="0"/>
        <w:jc w:val="both"/>
        <w:rPr>
          <w:b w:val="1"/>
          <w:u w:val="single"/>
        </w:rPr>
      </w:pPr>
    </w:p>
    <w:p w14:paraId="32010000">
      <w:pPr>
        <w:pStyle w:val="Style_10"/>
        <w:widowControl w:val="0"/>
        <w:ind w:firstLine="851" w:left="0"/>
        <w:jc w:val="both"/>
      </w:pPr>
      <w:r>
        <w:t xml:space="preserve">Срок оформления и выдачи иностранному гражданину патента - </w:t>
      </w:r>
      <w:r>
        <w:rPr>
          <w:b w:val="1"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14:paraId="33010000">
      <w:pPr>
        <w:pStyle w:val="Style_10"/>
        <w:widowControl w:val="0"/>
        <w:ind w:firstLine="851" w:left="0"/>
        <w:jc w:val="both"/>
      </w:pPr>
      <w:r>
        <w:t xml:space="preserve">Срок оформления и выдачи иностранному гражданину дубликата патента - </w:t>
      </w:r>
      <w:r>
        <w:br/>
      </w:r>
      <w:r>
        <w:rPr>
          <w:b w:val="1"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14:paraId="34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 w14:paraId="35010000">
      <w:pPr>
        <w:ind w:firstLine="851" w:left="0"/>
        <w:jc w:val="both"/>
        <w:rPr>
          <w:sz w:val="28"/>
          <w:u w:val="single"/>
        </w:rPr>
      </w:pPr>
      <w:r>
        <w:rPr>
          <w:b w:val="1"/>
          <w:sz w:val="28"/>
        </w:rPr>
        <w:t xml:space="preserve">Срок действия патента считается продленным на период, за который уплачен налог на доходы физических лиц в виде </w:t>
      </w:r>
      <w:r>
        <w:rPr>
          <w:b w:val="1"/>
          <w:sz w:val="28"/>
          <w:u w:val="single"/>
        </w:rPr>
        <w:t xml:space="preserve">фиксированного авансового платежа. </w:t>
      </w:r>
    </w:p>
    <w:p w14:paraId="36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 w:val="1"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14:paraId="37010000">
      <w:pPr>
        <w:ind w:firstLine="851" w:left="0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 необходимо его переоформить (продлить). Срок продлений патента неограничен (два, три года и т.д.).</w:t>
      </w:r>
    </w:p>
    <w:p w14:paraId="38010000">
      <w:pPr>
        <w:ind w:firstLine="851" w:left="0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 w14:paraId="39010000">
      <w:pPr>
        <w:ind w:firstLine="851" w:left="0"/>
        <w:jc w:val="both"/>
        <w:rPr>
          <w:sz w:val="28"/>
        </w:rPr>
      </w:pPr>
    </w:p>
    <w:p w14:paraId="3A010000">
      <w:pPr>
        <w:pStyle w:val="Style_5"/>
        <w:numPr>
          <w:ilvl w:val="0"/>
          <w:numId w:val="10"/>
        </w:numPr>
        <w:ind w:firstLine="851" w:left="0"/>
        <w:jc w:val="both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Выдача патента иностранному гражданину:</w:t>
      </w:r>
    </w:p>
    <w:p w14:paraId="3B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3C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 w:val="1"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установленного на территории Ростовской области) на период действия патента.</w:t>
      </w:r>
    </w:p>
    <w:p w14:paraId="3D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 w:val="1"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месяц.</w:t>
      </w:r>
    </w:p>
    <w:p w14:paraId="3E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 - 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 w14:paraId="3F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государственная дактилоскопическая регистрация и фотографирование иностранного гражданина.</w:t>
      </w:r>
    </w:p>
    <w:p w14:paraId="4001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 w14:paraId="41010000">
      <w:pPr>
        <w:ind w:firstLine="851" w:left="0"/>
        <w:jc w:val="both"/>
        <w:rPr>
          <w:sz w:val="28"/>
        </w:rPr>
      </w:pPr>
      <w:r>
        <w:rPr>
          <w:sz w:val="28"/>
        </w:rPr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14:paraId="42010000">
      <w:pPr>
        <w:pStyle w:val="Style_7"/>
        <w:widowControl w:val="0"/>
        <w:ind/>
        <w:jc w:val="center"/>
        <w:rPr>
          <w:rFonts w:ascii="Times New Roman" w:hAnsi="Times New Roman"/>
          <w:b w:val="1"/>
          <w:sz w:val="16"/>
          <w:u w:val="single"/>
        </w:rPr>
      </w:pPr>
    </w:p>
    <w:p w14:paraId="43010000">
      <w:pPr>
        <w:pStyle w:val="Style_7"/>
        <w:widowControl w:val="0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 w14:paraId="44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45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 w:val="1"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 w:val="1"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 w:val="1"/>
          <w:sz w:val="28"/>
          <w:u w:val="single"/>
        </w:rPr>
        <w:t>в срок, не превышающий 3-х рабочих дней с даты заключения или прекращения (расторжения) соответствующего договора.</w:t>
      </w:r>
    </w:p>
    <w:p w14:paraId="46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14:paraId="47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 w14:paraId="48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16"/>
        </w:rPr>
      </w:pPr>
    </w:p>
    <w:p w14:paraId="49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Подать уведомление можно, выбрав один из равнозначных способов:</w:t>
      </w:r>
    </w:p>
    <w:p w14:paraId="4A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 w:val="1"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 w:val="1"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14:paraId="4B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14:paraId="4C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Ростов-на-Дону, ул. Таганрогская, 33.</w:t>
      </w:r>
    </w:p>
    <w:p w14:paraId="4D010000">
      <w:pPr>
        <w:pStyle w:val="Style_7"/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14:paraId="4E010000">
      <w:pPr>
        <w:pStyle w:val="Style_7"/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14:paraId="4F010000">
      <w:pPr>
        <w:pStyle w:val="Style_7"/>
        <w:widowControl w:val="0"/>
        <w:ind w:firstLine="851" w:left="0"/>
        <w:jc w:val="center"/>
        <w:rPr>
          <w:rFonts w:ascii="Times New Roman" w:hAnsi="Times New Roman"/>
          <w:b w:val="1"/>
          <w:sz w:val="28"/>
        </w:rPr>
      </w:pPr>
    </w:p>
    <w:p w14:paraId="50010000">
      <w:pPr>
        <w:pStyle w:val="Style_7"/>
        <w:widowControl w:val="0"/>
        <w:ind w:firstLine="851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10. </w:t>
      </w:r>
      <w:r>
        <w:rPr>
          <w:rFonts w:ascii="Times New Roman" w:hAnsi="Times New Roman"/>
          <w:b w:val="1"/>
          <w:sz w:val="28"/>
        </w:rPr>
        <w:t>Основания для отказа в выдаче патента, аннулирования ранее выданного патента</w:t>
      </w:r>
    </w:p>
    <w:p w14:paraId="51010000">
      <w:pPr>
        <w:ind w:firstLine="851" w:left="0"/>
        <w:jc w:val="both"/>
        <w:rPr>
          <w:b w:val="1"/>
          <w:sz w:val="16"/>
        </w:rPr>
      </w:pPr>
    </w:p>
    <w:p w14:paraId="5201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>В выдаче патента иностранному гражданину может быть отказано, если:</w:t>
      </w:r>
    </w:p>
    <w:p w14:paraId="53010000">
      <w:pPr>
        <w:ind w:firstLine="851" w:left="0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14:paraId="54010000">
      <w:pPr>
        <w:ind w:firstLine="851" w:left="0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14:paraId="55010000">
      <w:pPr>
        <w:ind w:firstLine="851" w:left="0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14:paraId="56010000">
      <w:pPr>
        <w:ind w:firstLine="851" w:left="0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 w14:paraId="57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 w:val="1"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 w14:paraId="58010000">
      <w:pPr>
        <w:ind w:firstLine="851" w:left="0"/>
        <w:jc w:val="both"/>
        <w:rPr>
          <w:sz w:val="28"/>
        </w:rPr>
      </w:pPr>
      <w:r>
        <w:rPr>
          <w:sz w:val="28"/>
        </w:rPr>
        <w:t>1.5. Представил поддельные или подложные документы либо сообщил о себе заведомо ложные сведения.</w:t>
      </w:r>
    </w:p>
    <w:p w14:paraId="59010000">
      <w:pPr>
        <w:ind w:firstLine="851" w:left="0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 w14:paraId="5A010000">
      <w:pPr>
        <w:ind w:firstLine="851" w:left="0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 w14:paraId="5B010000">
      <w:pPr>
        <w:ind w:firstLine="851" w:left="0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Федерации.</w:t>
      </w:r>
    </w:p>
    <w:p w14:paraId="5C010000">
      <w:pPr>
        <w:ind w:firstLine="851" w:left="0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14:paraId="5D010000">
      <w:pPr>
        <w:ind w:firstLine="851" w:left="0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шести месяцев.</w:t>
      </w:r>
    </w:p>
    <w:p w14:paraId="5E010000">
      <w:pPr>
        <w:ind w:firstLine="851" w:left="0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окружающих.</w:t>
      </w:r>
    </w:p>
    <w:p w14:paraId="5F010000">
      <w:pPr>
        <w:ind w:firstLine="851" w:left="0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14:paraId="60010000">
      <w:pPr>
        <w:ind w:firstLine="851" w:left="0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 w14:paraId="61010000">
      <w:pPr>
        <w:ind w:firstLine="851" w:left="0"/>
        <w:jc w:val="both"/>
        <w:rPr>
          <w:sz w:val="28"/>
        </w:rPr>
      </w:pPr>
      <w:r>
        <w:rPr>
          <w:sz w:val="28"/>
        </w:rPr>
        <w:t>1.14. Не указал в миграционной карте работу как цель визита в Российскую Федерацию.</w:t>
      </w:r>
    </w:p>
    <w:p w14:paraId="62010000">
      <w:pPr>
        <w:ind w:firstLine="851" w:left="0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14:paraId="63010000">
      <w:pPr>
        <w:ind w:firstLine="851" w:left="0"/>
        <w:jc w:val="both"/>
        <w:rPr>
          <w:sz w:val="28"/>
        </w:rPr>
      </w:pPr>
      <w:r>
        <w:rPr>
          <w:sz w:val="28"/>
        </w:rPr>
        <w:t>2. В отношении заявителя принято решение о нежелательности пребывания (проживания) в Российской Федерации или неразрешении въезда в Российскую Федерацию.</w:t>
      </w:r>
    </w:p>
    <w:p w14:paraId="64010000">
      <w:pPr>
        <w:ind w:firstLine="851" w:left="0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14:paraId="65010000">
      <w:pPr>
        <w:ind w:firstLine="851" w:left="0"/>
        <w:jc w:val="both"/>
        <w:rPr>
          <w:sz w:val="28"/>
        </w:rPr>
      </w:pPr>
      <w:r>
        <w:rPr>
          <w:sz w:val="28"/>
        </w:rPr>
        <w:t>4. Отсутствуют сведения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14:paraId="66010000">
      <w:pPr>
        <w:ind w:firstLine="851" w:left="0"/>
        <w:jc w:val="both"/>
        <w:rPr>
          <w:sz w:val="28"/>
        </w:rPr>
      </w:pPr>
      <w:r>
        <w:rPr>
          <w:sz w:val="28"/>
        </w:rPr>
        <w:t>5. Отсутствуют сведения 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14:paraId="67010000">
      <w:pPr>
        <w:ind w:firstLine="851" w:left="0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патента.</w:t>
      </w:r>
    </w:p>
    <w:p w14:paraId="68010000">
      <w:pPr>
        <w:ind w:firstLine="851" w:left="0"/>
        <w:jc w:val="both"/>
        <w:rPr>
          <w:sz w:val="28"/>
        </w:rPr>
      </w:pPr>
    </w:p>
    <w:p w14:paraId="69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11. </w:t>
      </w:r>
      <w:r>
        <w:rPr>
          <w:b w:val="1"/>
          <w:sz w:val="28"/>
        </w:rPr>
        <w:t>Порядок пребывания и осуществления трудовой деятельности на территории Российской Федерации иностранных граждан, прибывших из государств – участников договора о Евразийском экономическом союзе</w:t>
      </w:r>
    </w:p>
    <w:p w14:paraId="6A010000">
      <w:pPr>
        <w:ind w:firstLine="851" w:left="0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 w14:paraId="6B010000">
      <w:pPr>
        <w:ind w:firstLine="851" w:left="0"/>
        <w:jc w:val="center"/>
        <w:rPr>
          <w:b w:val="1"/>
          <w:sz w:val="28"/>
        </w:rPr>
      </w:pPr>
    </w:p>
    <w:p w14:paraId="6C010000">
      <w:pPr>
        <w:ind w:firstLine="851" w:left="0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Российская Федерация.</w:t>
      </w:r>
    </w:p>
    <w:p w14:paraId="6D010000">
      <w:pPr>
        <w:ind w:firstLine="851" w:left="0"/>
        <w:jc w:val="both"/>
        <w:rPr>
          <w:i w:val="1"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 w:val="1"/>
          <w:sz w:val="28"/>
        </w:rPr>
        <w:t>без разрешительных документов (патентов, разрешений на работу, РВП) на основании заключенных трудовых договоров с работодателями</w:t>
      </w:r>
      <w:r>
        <w:rPr>
          <w:sz w:val="28"/>
        </w:rPr>
        <w:t>.</w:t>
      </w:r>
    </w:p>
    <w:p w14:paraId="6E010000">
      <w:pPr>
        <w:ind w:firstLine="851" w:left="0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 w14:paraId="6F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 w14:paraId="70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r>
        <w:rPr>
          <w:sz w:val="28"/>
        </w:rPr>
        <w:t>с даты въезда, эти граждане обязаны зарегистрироваться (встать на учет).</w:t>
      </w:r>
    </w:p>
    <w:p w14:paraId="71010000">
      <w:pPr>
        <w:ind w:firstLine="851" w:left="0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"https://61.мвд.рф"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https://61.мвд.рф</w:t>
      </w:r>
      <w:r>
        <w:rPr>
          <w:rStyle w:val="Style_4_ch"/>
          <w:color w:val="000000"/>
          <w:sz w:val="28"/>
        </w:rPr>
        <w:fldChar w:fldCharType="end"/>
      </w:r>
      <w:r>
        <w:rPr>
          <w:rStyle w:val="Style_4_ch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 w:val="1"/>
          <w:sz w:val="28"/>
        </w:rPr>
        <w:t>государственные услуги</w:t>
      </w:r>
      <w:r>
        <w:rPr>
          <w:sz w:val="28"/>
        </w:rPr>
        <w:t xml:space="preserve">» имеются нормативно правовые акты, регулирующие предоставление государственной услуги по оформлению патентов, а также формы всех заявлений с образцами заполнения. </w:t>
      </w:r>
    </w:p>
    <w:p w14:paraId="72010000">
      <w:pPr>
        <w:ind w:firstLine="851" w:left="0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14:paraId="73010000">
      <w:pPr>
        <w:rPr>
          <w:sz w:val="28"/>
        </w:rPr>
      </w:pPr>
      <w:r>
        <w:rPr>
          <w:sz w:val="28"/>
        </w:rPr>
        <w:br w:type="page"/>
      </w:r>
    </w:p>
    <w:p w14:paraId="74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12.</w:t>
      </w:r>
      <w:r>
        <w:rPr>
          <w:b w:val="1"/>
          <w:sz w:val="28"/>
        </w:rPr>
        <w:t xml:space="preserve"> И</w:t>
      </w:r>
      <w:r>
        <w:rPr>
          <w:b w:val="1"/>
          <w:sz w:val="28"/>
        </w:rPr>
        <w:t>нформаци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об охране здоровья и личной гигиене человека, социально значимых заболеваниях и прививках</w:t>
      </w:r>
    </w:p>
    <w:p w14:paraId="75010000">
      <w:pPr>
        <w:ind w:firstLine="851" w:left="0"/>
        <w:rPr>
          <w:b w:val="1"/>
          <w:sz w:val="28"/>
        </w:rPr>
      </w:pPr>
    </w:p>
    <w:p w14:paraId="76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12.1. </w:t>
      </w:r>
      <w:r>
        <w:rPr>
          <w:b w:val="1"/>
          <w:sz w:val="28"/>
        </w:rPr>
        <w:t>Профилактика</w:t>
      </w:r>
      <w:r>
        <w:rPr>
          <w:b w:val="1"/>
          <w:sz w:val="28"/>
        </w:rPr>
        <w:t xml:space="preserve"> острых кишечных инфекций</w:t>
      </w:r>
    </w:p>
    <w:p w14:paraId="77010000">
      <w:pPr>
        <w:ind w:firstLine="851" w:left="0"/>
        <w:jc w:val="center"/>
        <w:rPr>
          <w:b w:val="1"/>
          <w:sz w:val="28"/>
        </w:rPr>
      </w:pPr>
    </w:p>
    <w:p w14:paraId="78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Группа кишечных инфекций – это заболевания, объединённые сходным характером клинических проявлений в виде нарушения работы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 в животе, вздутие, тошнота, рвота и жидкий стул одно - или многократный, в т.ч. и с патологическими примесями – слизью, прожилками крови. </w:t>
      </w:r>
    </w:p>
    <w:p w14:paraId="79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Большинство инфекционных болезней с фекально - оральным механизмом протекает с повышенной температурой тела. При одних болезнях подъем температуры может быть внезапным, сопровождающимся ознобом, потом, головной болью, либо постепенным, в диапазоне 37-39,5 оС. Вместе с подъемом температуры появляются и другие признаки интоксикационного характера: общее недомогание и слабость,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окрашиванием склер и кожных покровов (вирусный гепатит А). В тяжелых случаях могут быть общая оглушенность, бред, потеря сознания. </w:t>
      </w:r>
    </w:p>
    <w:p w14:paraId="7A010000">
      <w:pPr>
        <w:ind w:firstLine="851" w:left="0"/>
        <w:jc w:val="both"/>
        <w:rPr>
          <w:sz w:val="28"/>
        </w:rPr>
      </w:pPr>
      <w:r>
        <w:rPr>
          <w:sz w:val="28"/>
        </w:rPr>
        <w:t>Основные меры  профилактики:</w:t>
      </w:r>
    </w:p>
    <w:p w14:paraId="7B010000">
      <w:pPr>
        <w:ind w:firstLine="851" w:left="0"/>
        <w:jc w:val="both"/>
        <w:rPr>
          <w:sz w:val="28"/>
        </w:rPr>
      </w:pPr>
      <w:r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 w14:paraId="7C010000">
      <w:pPr>
        <w:ind w:firstLine="851" w:left="0"/>
        <w:jc w:val="both"/>
        <w:rPr>
          <w:sz w:val="28"/>
        </w:rPr>
      </w:pPr>
      <w:r>
        <w:rPr>
          <w:sz w:val="28"/>
        </w:rPr>
        <w:t>- тщательно мыть овощи и фрукты под проточной водой и обдавать их кипятком перед употреблением в пищу;</w:t>
      </w:r>
    </w:p>
    <w:p w14:paraId="7D010000">
      <w:pPr>
        <w:ind w:firstLine="851" w:left="0"/>
        <w:jc w:val="both"/>
        <w:rPr>
          <w:sz w:val="28"/>
        </w:rPr>
      </w:pPr>
      <w:r>
        <w:rPr>
          <w:sz w:val="28"/>
        </w:rPr>
        <w:t>- не приобретать ягоды, фрукты, овощи с признаками порчи;</w:t>
      </w:r>
    </w:p>
    <w:p w14:paraId="7E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 w14:paraId="7F010000">
      <w:pPr>
        <w:ind w:firstLine="851" w:left="0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 w14:paraId="80010000">
      <w:pPr>
        <w:ind w:firstLine="851" w:left="0"/>
        <w:jc w:val="both"/>
        <w:rPr>
          <w:sz w:val="28"/>
        </w:rPr>
      </w:pPr>
      <w:r>
        <w:rPr>
          <w:sz w:val="28"/>
        </w:rPr>
        <w:t>- при приготовлении пищи в домашних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 w14:paraId="81010000">
      <w:pPr>
        <w:ind w:firstLine="851" w:left="0"/>
        <w:jc w:val="both"/>
        <w:rPr>
          <w:sz w:val="28"/>
        </w:rPr>
      </w:pPr>
      <w:r>
        <w:rPr>
          <w:sz w:val="28"/>
        </w:rPr>
        <w:t>- использовать для питья кипяченую или бутилированную воду, не употреблять воду из «случайных» источников;</w:t>
      </w:r>
    </w:p>
    <w:p w14:paraId="82010000">
      <w:pPr>
        <w:ind w:firstLine="851" w:left="0"/>
        <w:jc w:val="both"/>
        <w:rPr>
          <w:sz w:val="28"/>
        </w:rPr>
      </w:pPr>
      <w:r>
        <w:rPr>
          <w:sz w:val="28"/>
        </w:rPr>
        <w:t>- защищать от мух пищевые продукты, сразу мыть грязную посуду;</w:t>
      </w:r>
    </w:p>
    <w:p w14:paraId="83010000">
      <w:pPr>
        <w:ind w:firstLine="851" w:left="0"/>
        <w:jc w:val="both"/>
        <w:rPr>
          <w:sz w:val="28"/>
        </w:rPr>
      </w:pPr>
      <w:r>
        <w:rPr>
          <w:sz w:val="28"/>
        </w:rPr>
        <w:t>- в целях борьбы с мухами следует засетчивать оконные проемы сеткой;</w:t>
      </w:r>
    </w:p>
    <w:p w14:paraId="84010000">
      <w:pPr>
        <w:ind w:firstLine="851" w:left="0"/>
        <w:jc w:val="both"/>
        <w:rPr>
          <w:sz w:val="28"/>
        </w:rPr>
      </w:pPr>
      <w:r>
        <w:rPr>
          <w:sz w:val="28"/>
        </w:rPr>
        <w:t>- купаться только в разрешенных местах, при купании в водоемах не допускать заглатывания воды;</w:t>
      </w:r>
    </w:p>
    <w:p w14:paraId="85010000">
      <w:pPr>
        <w:ind w:firstLine="851" w:left="0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 w14:paraId="86010000">
      <w:pPr>
        <w:ind w:firstLine="851" w:left="0"/>
        <w:jc w:val="both"/>
        <w:rPr>
          <w:sz w:val="28"/>
        </w:rPr>
      </w:pPr>
      <w:r>
        <w:rPr>
          <w:sz w:val="28"/>
        </w:rPr>
        <w:t>- регулярно опорожнять и мыть емкости для сбора бытовых отходов;</w:t>
      </w:r>
    </w:p>
    <w:p w14:paraId="87010000">
      <w:pPr>
        <w:ind w:firstLine="851" w:left="0"/>
        <w:jc w:val="both"/>
        <w:rPr>
          <w:sz w:val="28"/>
        </w:rPr>
      </w:pPr>
      <w:r>
        <w:rPr>
          <w:sz w:val="28"/>
        </w:rPr>
        <w:t>- регулярно удалять нечистоты и проводить дезинфекцию уборных, помойных ям;</w:t>
      </w:r>
    </w:p>
    <w:p w14:paraId="88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ни в коем случае не заниматься самолечением и при появлении симптомов </w:t>
      </w:r>
      <w:r>
        <w:rPr>
          <w:sz w:val="28"/>
        </w:rPr>
        <w:t>кишечной инфекции (тошнота, рвота, жидкий стул, подъем температуры, головная боль) немедленно обратиться к врачу.</w:t>
      </w:r>
    </w:p>
    <w:p w14:paraId="89010000">
      <w:pPr>
        <w:ind/>
        <w:jc w:val="both"/>
        <w:rPr>
          <w:sz w:val="28"/>
        </w:rPr>
      </w:pPr>
    </w:p>
    <w:p w14:paraId="8A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12.2. </w:t>
      </w:r>
      <w:r>
        <w:rPr>
          <w:b w:val="1"/>
          <w:sz w:val="28"/>
        </w:rPr>
        <w:t>Социально значимые заболевания</w:t>
      </w:r>
    </w:p>
    <w:p w14:paraId="8B010000">
      <w:pPr>
        <w:ind w:firstLine="851" w:left="0"/>
        <w:jc w:val="center"/>
        <w:rPr>
          <w:b w:val="1"/>
          <w:sz w:val="28"/>
        </w:rPr>
      </w:pPr>
    </w:p>
    <w:p w14:paraId="8C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Профилактика ВИЧ</w:t>
      </w:r>
    </w:p>
    <w:p w14:paraId="8D010000">
      <w:pPr>
        <w:ind w:firstLine="851" w:left="0"/>
        <w:jc w:val="center"/>
        <w:rPr>
          <w:b w:val="1"/>
          <w:sz w:val="28"/>
        </w:rPr>
      </w:pPr>
    </w:p>
    <w:p w14:paraId="8E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 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приобретенного иммунодефицита (СПИД), при котором иммунная система полностью истощается. СПИД относится к числу 5 главных болезней - убийц, уносящих наибольшее число жизней на нашей планете.</w:t>
      </w:r>
    </w:p>
    <w:p w14:paraId="8F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</w:t>
      </w:r>
      <w:r>
        <w:rPr>
          <w:sz w:val="28"/>
          <w:u w:val="single"/>
        </w:rPr>
        <w:t>:</w:t>
      </w:r>
    </w:p>
    <w:p w14:paraId="90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14:paraId="91010000">
      <w:pPr>
        <w:ind w:firstLine="851" w:left="0"/>
        <w:jc w:val="both"/>
        <w:rPr>
          <w:sz w:val="28"/>
        </w:rPr>
      </w:pPr>
      <w:r>
        <w:rPr>
          <w:sz w:val="28"/>
        </w:rPr>
        <w:t>ВИЧ не передается при прикосновениях, объятиях, рукопожатиях, поцелуях, использовании общего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14:paraId="92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 w14:paraId="93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Лихорадка более 1 месяца, диарея более 1 месяца, необъяснимая потеря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групп, подострый энцефалит, слабоумие у ранее здоровых людей и другие. </w:t>
      </w:r>
    </w:p>
    <w:p w14:paraId="94010000">
      <w:pPr>
        <w:ind w:firstLine="851" w:left="0"/>
        <w:jc w:val="both"/>
        <w:rPr>
          <w:sz w:val="28"/>
        </w:rPr>
      </w:pPr>
      <w:r>
        <w:rPr>
          <w:sz w:val="28"/>
        </w:rPr>
        <w:t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заболевания и продлить жизнь.</w:t>
      </w:r>
    </w:p>
    <w:p w14:paraId="95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 w14:paraId="96010000">
      <w:pPr>
        <w:numPr>
          <w:numId w:val="11"/>
        </w:numPr>
        <w:ind/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 w14:paraId="97010000">
      <w:pPr>
        <w:numPr>
          <w:numId w:val="12"/>
        </w:numPr>
        <w:ind/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 w14:paraId="98010000">
      <w:pPr>
        <w:numPr>
          <w:numId w:val="13"/>
        </w:numPr>
        <w:ind/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на несколько человек; </w:t>
      </w:r>
    </w:p>
    <w:p w14:paraId="99010000">
      <w:pPr>
        <w:numPr>
          <w:numId w:val="14"/>
        </w:numPr>
        <w:ind/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 w14:paraId="9A010000">
      <w:pPr>
        <w:numPr>
          <w:numId w:val="15"/>
        </w:numPr>
        <w:ind/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 свой инструмент.</w:t>
      </w:r>
    </w:p>
    <w:p w14:paraId="9B010000">
      <w:pPr>
        <w:ind w:firstLine="851" w:left="0"/>
        <w:jc w:val="both"/>
        <w:rPr>
          <w:sz w:val="28"/>
        </w:rPr>
      </w:pPr>
    </w:p>
    <w:p w14:paraId="9C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Туберкулез и его профилактика</w:t>
      </w:r>
    </w:p>
    <w:p w14:paraId="9D010000">
      <w:pPr>
        <w:ind w:firstLine="851" w:left="0"/>
        <w:jc w:val="center"/>
        <w:rPr>
          <w:b w:val="1"/>
          <w:sz w:val="28"/>
        </w:rPr>
      </w:pPr>
    </w:p>
    <w:p w14:paraId="9E01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ослабленным иммунитетом. Возбудитель туберкулеза – микобактерия, очень </w:t>
      </w:r>
      <w:r>
        <w:rPr>
          <w:sz w:val="28"/>
        </w:rPr>
        <w:t xml:space="preserve">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14:paraId="9F01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 w14:paraId="A0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14:paraId="A1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воздушно-капельный вдыхание зараженной пыли, капелек мокроты, выделяющихся от больного  при разговоре, чихании, кашле</w:t>
      </w:r>
      <w:r>
        <w:rPr>
          <w:sz w:val="28"/>
        </w:rPr>
        <w:t>;</w:t>
      </w:r>
    </w:p>
    <w:p w14:paraId="A2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пищевой – употребление в пищу зараженных продуктов (молоко, сметана, творог)</w:t>
      </w:r>
      <w:r>
        <w:rPr>
          <w:sz w:val="28"/>
        </w:rPr>
        <w:t>;</w:t>
      </w:r>
    </w:p>
    <w:p w14:paraId="A3010000">
      <w:pPr>
        <w:numPr>
          <w:numId w:val="16"/>
        </w:numPr>
        <w:ind/>
        <w:jc w:val="both"/>
        <w:rPr>
          <w:sz w:val="28"/>
        </w:rPr>
      </w:pPr>
      <w:r>
        <w:rPr>
          <w:sz w:val="28"/>
        </w:rPr>
        <w:t>контактно  - бытовой – через поврежденную кожу и слизистые оболочки</w:t>
      </w:r>
      <w:r>
        <w:rPr>
          <w:sz w:val="28"/>
        </w:rPr>
        <w:t>;</w:t>
      </w:r>
    </w:p>
    <w:p w14:paraId="A4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 w14:paraId="A5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неблагоприятные социальные и экологические условия жизни</w:t>
      </w:r>
      <w:r>
        <w:rPr>
          <w:sz w:val="28"/>
        </w:rPr>
        <w:t>;</w:t>
      </w:r>
    </w:p>
    <w:p w14:paraId="A6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неполноценное питание, стрессы</w:t>
      </w:r>
      <w:r>
        <w:rPr>
          <w:sz w:val="28"/>
        </w:rPr>
        <w:t>;</w:t>
      </w:r>
    </w:p>
    <w:p w14:paraId="A7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алкоголизм, курение, наркомания</w:t>
      </w:r>
      <w:r>
        <w:rPr>
          <w:sz w:val="28"/>
        </w:rPr>
        <w:t>;</w:t>
      </w:r>
    </w:p>
    <w:p w14:paraId="A8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сопутствующие заболевания (диабет, язвенная болезнь желудка, двенадцатиперстной кишки, заболевания легких) и др.</w:t>
      </w:r>
    </w:p>
    <w:p w14:paraId="A9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 w14:paraId="AA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быстрая утомляемость, общая слабость</w:t>
      </w:r>
      <w:r>
        <w:rPr>
          <w:sz w:val="28"/>
        </w:rPr>
        <w:t>;</w:t>
      </w:r>
    </w:p>
    <w:p w14:paraId="AB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потеря аппетита</w:t>
      </w:r>
      <w:r>
        <w:rPr>
          <w:sz w:val="28"/>
        </w:rPr>
        <w:t>;</w:t>
      </w:r>
    </w:p>
    <w:p w14:paraId="AC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одышка при небольших физических нагрузках</w:t>
      </w:r>
      <w:r>
        <w:rPr>
          <w:sz w:val="28"/>
        </w:rPr>
        <w:t>;</w:t>
      </w:r>
    </w:p>
    <w:p w14:paraId="AD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длительный кашель и повышение температуры тела до 37,1 – 37,50С</w:t>
      </w:r>
      <w:r>
        <w:rPr>
          <w:sz w:val="28"/>
        </w:rPr>
        <w:t>;</w:t>
      </w:r>
    </w:p>
    <w:p w14:paraId="AE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потливость (особенно по ночам), потеря веса и пр.</w:t>
      </w:r>
    </w:p>
    <w:p w14:paraId="AF010000">
      <w:pPr>
        <w:ind w:firstLine="851" w:left="0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14:paraId="B0010000">
      <w:pPr>
        <w:ind w:firstLine="851" w:left="0"/>
        <w:jc w:val="both"/>
        <w:rPr>
          <w:sz w:val="28"/>
        </w:rPr>
      </w:pPr>
      <w:r>
        <w:rPr>
          <w:sz w:val="28"/>
        </w:rPr>
        <w:t>Профилактика:отказ от вредных привычек</w:t>
      </w:r>
      <w:r>
        <w:rPr>
          <w:sz w:val="28"/>
        </w:rPr>
        <w:t xml:space="preserve">, </w:t>
      </w:r>
      <w:r>
        <w:rPr>
          <w:sz w:val="28"/>
        </w:rPr>
        <w:t xml:space="preserve">соблюдение </w:t>
      </w:r>
      <w:r>
        <w:rPr>
          <w:sz w:val="28"/>
        </w:rPr>
        <w:t>п</w:t>
      </w:r>
      <w:r>
        <w:rPr>
          <w:sz w:val="28"/>
        </w:rPr>
        <w:t>равил личной гигиены</w:t>
      </w:r>
      <w:r>
        <w:rPr>
          <w:sz w:val="28"/>
        </w:rPr>
        <w:t xml:space="preserve">, </w:t>
      </w:r>
      <w:r>
        <w:rPr>
          <w:sz w:val="28"/>
        </w:rPr>
        <w:t>иммунизация в детском возрасте, постановка туберкулиновых проб</w:t>
      </w:r>
      <w:r>
        <w:rPr>
          <w:sz w:val="28"/>
        </w:rPr>
        <w:t xml:space="preserve">, </w:t>
      </w:r>
      <w:r>
        <w:rPr>
          <w:sz w:val="28"/>
        </w:rPr>
        <w:t>регулярное флюорографическое обследование</w:t>
      </w:r>
      <w:r>
        <w:rPr>
          <w:sz w:val="28"/>
        </w:rPr>
        <w:t xml:space="preserve">, </w:t>
      </w:r>
      <w:r>
        <w:rPr>
          <w:sz w:val="28"/>
        </w:rPr>
        <w:t>соблюдение гигиены жилища, физическая активность</w:t>
      </w:r>
      <w:r>
        <w:rPr>
          <w:sz w:val="28"/>
        </w:rPr>
        <w:t xml:space="preserve">, </w:t>
      </w:r>
      <w:r>
        <w:rPr>
          <w:sz w:val="28"/>
        </w:rPr>
        <w:t>полноценное питание</w:t>
      </w:r>
      <w:r>
        <w:rPr>
          <w:sz w:val="28"/>
        </w:rPr>
        <w:t xml:space="preserve">, </w:t>
      </w:r>
      <w:r>
        <w:rPr>
          <w:sz w:val="28"/>
        </w:rPr>
        <w:t>чистый воздух и солнечный свет</w:t>
      </w:r>
      <w:r>
        <w:rPr>
          <w:sz w:val="28"/>
        </w:rPr>
        <w:t xml:space="preserve">, </w:t>
      </w:r>
      <w:r>
        <w:rPr>
          <w:sz w:val="28"/>
        </w:rPr>
        <w:t>ограничение контакта с больным</w:t>
      </w:r>
      <w:r>
        <w:rPr>
          <w:sz w:val="28"/>
        </w:rPr>
        <w:t>.</w:t>
      </w:r>
    </w:p>
    <w:p w14:paraId="B1010000">
      <w:pPr>
        <w:ind w:firstLine="851" w:left="0"/>
        <w:jc w:val="both"/>
        <w:rPr>
          <w:sz w:val="28"/>
        </w:rPr>
      </w:pPr>
    </w:p>
    <w:p w14:paraId="B2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Профилактика сифилиса и гонореи</w:t>
      </w:r>
    </w:p>
    <w:p w14:paraId="B3010000">
      <w:pPr>
        <w:ind w:firstLine="851" w:left="0"/>
        <w:jc w:val="center"/>
        <w:rPr>
          <w:b w:val="1"/>
          <w:sz w:val="28"/>
        </w:rPr>
      </w:pPr>
    </w:p>
    <w:p w14:paraId="B4010000">
      <w:pPr>
        <w:ind w:firstLine="851" w:left="0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 - суставной и нервной систем. Возбудителем сифилиса является бледная трепонема или бледная спирохета - микроб. Гонорея – характеризуется поражением слизистых оболочек мочеполовых органов, но могут поражаться слизистая прямой кишки, конъюктива  (бленнорея). Возбудителем гонореи является грамотрицательный диплококк – гонококк</w:t>
      </w:r>
    </w:p>
    <w:p w14:paraId="B5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14:paraId="B6010000">
      <w:pPr>
        <w:ind w:firstLine="851" w:left="0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 w14:paraId="B7010000">
      <w:pPr>
        <w:ind w:firstLine="851" w:left="0"/>
        <w:jc w:val="both"/>
        <w:rPr>
          <w:sz w:val="28"/>
        </w:rPr>
      </w:pPr>
      <w:r>
        <w:rPr>
          <w:sz w:val="28"/>
        </w:rPr>
        <w:t>Трансплацентарный путь передачи:</w:t>
      </w:r>
    </w:p>
    <w:p w14:paraId="B8010000">
      <w:pPr>
        <w:ind w:firstLine="851" w:left="0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 w14:paraId="B9010000">
      <w:pPr>
        <w:ind w:firstLine="851" w:left="0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</w:rPr>
        <w:t>при гонореи </w:t>
      </w:r>
      <w:r>
        <w:rPr>
          <w:sz w:val="28"/>
        </w:rPr>
        <w:t>–</w:t>
      </w:r>
      <w:r>
        <w:rPr>
          <w:sz w:val="28"/>
        </w:rPr>
        <w:t> </w:t>
      </w:r>
      <w:r>
        <w:rPr>
          <w:sz w:val="28"/>
        </w:rPr>
        <w:t>возможно инфицирование новорожденных во время прохождения через родовые пути матери.</w:t>
      </w:r>
    </w:p>
    <w:p w14:paraId="BA010000">
      <w:pPr>
        <w:ind w:firstLine="851" w:left="0"/>
        <w:jc w:val="both"/>
        <w:rPr>
          <w:sz w:val="28"/>
        </w:rPr>
      </w:pPr>
      <w:r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 w14:paraId="BB010000">
      <w:pPr>
        <w:ind w:firstLine="851" w:left="0"/>
        <w:jc w:val="both"/>
        <w:rPr>
          <w:sz w:val="28"/>
        </w:rPr>
      </w:pPr>
      <w:r>
        <w:rPr>
          <w:sz w:val="28"/>
        </w:rPr>
        <w:t>Трансфузионный путь передачи – при переливании крови от донора, больного сифилисом в любой стадии.</w:t>
      </w:r>
    </w:p>
    <w:p w14:paraId="BC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 w14:paraId="BD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 w14:paraId="BE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14:paraId="BF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при гонореи – у мужчин - колеблется от 2 до 5 суток, у женщин – от 5 до 10 суток. </w:t>
      </w:r>
    </w:p>
    <w:p w14:paraId="C0010000">
      <w:pPr>
        <w:ind w:firstLine="851" w:left="0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 w14:paraId="C1010000">
      <w:pPr>
        <w:ind w:firstLine="851" w:left="0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половых контактов;</w:t>
      </w:r>
    </w:p>
    <w:p w14:paraId="C2010000">
      <w:pPr>
        <w:ind w:firstLine="851" w:left="0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 w14:paraId="C3010000">
      <w:pPr>
        <w:ind w:firstLine="851" w:left="0"/>
        <w:jc w:val="both"/>
        <w:rPr>
          <w:sz w:val="28"/>
        </w:rPr>
      </w:pPr>
      <w:r>
        <w:rPr>
          <w:sz w:val="28"/>
        </w:rPr>
        <w:t>- собл</w:t>
      </w:r>
      <w:r>
        <w:rPr>
          <w:sz w:val="28"/>
        </w:rPr>
        <w:t>юдение личной и половой гигиены.</w:t>
      </w:r>
    </w:p>
    <w:p w14:paraId="C4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Если человек знает о своем заболевании – он обязательно должен предупредить своего партнера о своей болезни. Заболевания могут протекать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специализированной медицинской помощи больным проводится врачами - дерматовенерологами. </w:t>
      </w:r>
    </w:p>
    <w:p w14:paraId="C5010000">
      <w:pPr>
        <w:ind w:firstLine="851" w:left="0"/>
        <w:jc w:val="both"/>
        <w:rPr>
          <w:sz w:val="28"/>
        </w:rPr>
      </w:pPr>
    </w:p>
    <w:p w14:paraId="C6010000">
      <w:pPr>
        <w:ind w:firstLine="851" w:left="0"/>
        <w:jc w:val="center"/>
        <w:rPr>
          <w:b w:val="1"/>
          <w:sz w:val="28"/>
        </w:rPr>
      </w:pPr>
      <w:r>
        <w:rPr>
          <w:b w:val="1"/>
          <w:sz w:val="28"/>
        </w:rPr>
        <w:t>Вакцинация</w:t>
      </w:r>
    </w:p>
    <w:p w14:paraId="C7010000">
      <w:pPr>
        <w:ind w:firstLine="851" w:left="0"/>
        <w:jc w:val="center"/>
        <w:rPr>
          <w:b w:val="1"/>
          <w:sz w:val="28"/>
        </w:rPr>
      </w:pPr>
    </w:p>
    <w:p w14:paraId="C8010000">
      <w:pPr>
        <w:ind w:firstLine="851" w:left="0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здравоохранения Российской Федерации 06.12.2021 № 1122н.</w:t>
      </w:r>
    </w:p>
    <w:p w14:paraId="C9010000">
      <w:pPr>
        <w:ind w:firstLine="851" w:left="0"/>
        <w:rPr>
          <w:b w:val="1"/>
          <w:sz w:val="28"/>
        </w:rPr>
      </w:pPr>
    </w:p>
    <w:p w14:paraId="CA010000">
      <w:pPr>
        <w:pStyle w:val="Style_1"/>
        <w:ind w:firstLine="0" w:left="0"/>
        <w:jc w:val="both"/>
      </w:pPr>
    </w:p>
    <w:p w14:paraId="CB010000">
      <w:pPr>
        <w:pStyle w:val="Style_1"/>
        <w:ind w:firstLine="851" w:left="0"/>
        <w:jc w:val="both"/>
        <w:rPr>
          <w:i w:val="1"/>
        </w:rPr>
      </w:pPr>
    </w:p>
    <w:p w14:paraId="CC010000">
      <w:pPr>
        <w:ind w:firstLine="851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Указанная информация не является официальными разъяснениями нормативно - правовым актам. </w:t>
      </w:r>
    </w:p>
    <w:p w14:paraId="CD010000">
      <w:pPr>
        <w:ind w:firstLine="851" w:left="0"/>
        <w:jc w:val="both"/>
        <w:rPr>
          <w:b w:val="1"/>
          <w:i w:val="1"/>
          <w:sz w:val="28"/>
          <w:u w:val="single"/>
        </w:rPr>
      </w:pPr>
    </w:p>
    <w:p w14:paraId="CE010000">
      <w:pPr>
        <w:ind w:firstLine="851" w:left="0"/>
        <w:jc w:val="both"/>
        <w:rPr>
          <w:b w:val="1"/>
          <w:i w:val="1"/>
          <w:sz w:val="28"/>
          <w:u w:val="single"/>
        </w:rPr>
      </w:pPr>
      <w:r>
        <w:rPr>
          <w:b w:val="1"/>
          <w:i w:val="1"/>
          <w:sz w:val="28"/>
          <w:u w:val="single"/>
        </w:rPr>
        <w:t>По возникшим вопросам необходимо обращаться:</w:t>
      </w:r>
    </w:p>
    <w:p w14:paraId="CF010000">
      <w:pPr>
        <w:ind w:firstLine="851" w:left="0"/>
        <w:jc w:val="both"/>
        <w:rPr>
          <w:b w:val="1"/>
          <w:i w:val="1"/>
          <w:sz w:val="28"/>
          <w:u w:val="single"/>
        </w:rPr>
      </w:pPr>
    </w:p>
    <w:p w14:paraId="D0010000">
      <w:pPr>
        <w:pStyle w:val="Style_6"/>
        <w:ind w:firstLine="851" w:left="0"/>
        <w:rPr>
          <w:u w:val="single"/>
        </w:rPr>
      </w:pPr>
      <w:r>
        <w:rPr>
          <w:u w:val="single"/>
        </w:rPr>
        <w:t>Контакты Государственной инспекции труда в Ростовской области</w:t>
      </w:r>
    </w:p>
    <w:p w14:paraId="D1010000">
      <w:pPr>
        <w:pStyle w:val="Style_6"/>
        <w:ind w:firstLine="851" w:left="0"/>
        <w:jc w:val="both"/>
        <w:rPr>
          <w:b w:val="0"/>
        </w:rPr>
      </w:pPr>
    </w:p>
    <w:p w14:paraId="D2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"https://git61.rostrud.gov.ru/"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https://git61.rostrud.gov.ru/</w:t>
      </w:r>
      <w:r>
        <w:rPr>
          <w:rStyle w:val="Style_4_ch"/>
          <w:sz w:val="28"/>
        </w:rPr>
        <w:fldChar w:fldCharType="end"/>
      </w:r>
    </w:p>
    <w:p w14:paraId="D3010000">
      <w:pPr>
        <w:ind w:firstLine="851" w:left="0"/>
        <w:jc w:val="both"/>
        <w:rPr>
          <w:sz w:val="28"/>
        </w:rPr>
      </w:pPr>
    </w:p>
    <w:p w14:paraId="D4010000">
      <w:pPr>
        <w:ind w:firstLine="851" w:left="0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14:paraId="D5010000">
      <w:pPr>
        <w:ind w:firstLine="851" w:left="0"/>
        <w:jc w:val="center"/>
        <w:rPr>
          <w:sz w:val="28"/>
        </w:rPr>
      </w:pPr>
    </w:p>
    <w:p w14:paraId="D6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14:paraId="D7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14:paraId="D8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 w14:paraId="D9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Фактический и почтовый адрес: </w:t>
      </w:r>
      <w:r>
        <w:rPr>
          <w:sz w:val="28"/>
        </w:rPr>
        <w:t>344003, Ростовская обл., г. Ростов-на-Дону пр. Ворошиловский 87/65</w:t>
      </w:r>
    </w:p>
    <w:p w14:paraId="DA01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14:paraId="DB010000">
      <w:pPr>
        <w:ind w:firstLine="851" w:left="0"/>
        <w:jc w:val="both"/>
        <w:rPr>
          <w:sz w:val="28"/>
        </w:rPr>
      </w:pPr>
    </w:p>
    <w:p w14:paraId="DC01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14:paraId="DD010000">
      <w:pPr>
        <w:ind w:firstLine="851" w:left="0"/>
        <w:jc w:val="both"/>
        <w:rPr>
          <w:sz w:val="28"/>
        </w:rPr>
      </w:pPr>
      <w:r>
        <w:rPr>
          <w:sz w:val="28"/>
        </w:rPr>
        <w:t>Понедельник, среда и пятница - с 8:30 до 13:00;</w:t>
      </w:r>
    </w:p>
    <w:p w14:paraId="DE010000">
      <w:pPr>
        <w:ind w:firstLine="851" w:left="0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 w14:paraId="DF010000">
      <w:pPr>
        <w:ind w:firstLine="851" w:left="0"/>
        <w:jc w:val="both"/>
        <w:rPr>
          <w:sz w:val="28"/>
        </w:rPr>
      </w:pPr>
    </w:p>
    <w:p w14:paraId="E0010000">
      <w:pPr>
        <w:pStyle w:val="Style_6"/>
        <w:ind w:firstLine="851" w:left="0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14:paraId="E1010000">
      <w:pPr>
        <w:pStyle w:val="Style_6"/>
        <w:ind w:firstLine="851" w:left="0"/>
        <w:jc w:val="both"/>
        <w:rPr>
          <w:b w:val="0"/>
        </w:rPr>
      </w:pPr>
    </w:p>
    <w:p w14:paraId="E2010000">
      <w:pPr>
        <w:pStyle w:val="Style_6"/>
        <w:ind w:firstLine="851" w:left="0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14:paraId="E3010000">
      <w:pPr>
        <w:pStyle w:val="Style_6"/>
        <w:ind w:firstLine="851" w:left="0"/>
        <w:jc w:val="both"/>
        <w:rPr>
          <w:b w:val="0"/>
        </w:rPr>
      </w:pPr>
    </w:p>
    <w:p w14:paraId="E4010000">
      <w:pPr>
        <w:ind w:firstLine="851" w:left="0"/>
        <w:jc w:val="both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Телефоны Управления по вопросам миграции для консультаций</w:t>
      </w:r>
    </w:p>
    <w:p w14:paraId="E5010000">
      <w:pPr>
        <w:ind w:firstLine="851" w:left="0"/>
        <w:jc w:val="both"/>
        <w:rPr>
          <w:sz w:val="28"/>
        </w:rPr>
      </w:pPr>
    </w:p>
    <w:p w14:paraId="E6010000">
      <w:pPr>
        <w:ind w:firstLine="851" w:left="0"/>
        <w:jc w:val="both"/>
        <w:rPr>
          <w:sz w:val="28"/>
        </w:rPr>
      </w:pPr>
      <w:r>
        <w:rPr>
          <w:sz w:val="28"/>
        </w:rPr>
        <w:t>1) 8 (863)273-28-33 – отдел по вопросам трудовой миграции (</w:t>
      </w:r>
      <w:r>
        <w:rPr>
          <w:sz w:val="28"/>
        </w:rPr>
        <w:t>п</w:t>
      </w:r>
      <w:r>
        <w:rPr>
          <w:sz w:val="28"/>
        </w:rPr>
        <w:t xml:space="preserve">атенты, </w:t>
      </w:r>
      <w:r>
        <w:rPr>
          <w:sz w:val="28"/>
        </w:rPr>
        <w:t>р</w:t>
      </w:r>
      <w:r>
        <w:rPr>
          <w:sz w:val="28"/>
        </w:rPr>
        <w:t>азрешения на работу)</w:t>
      </w:r>
      <w:r>
        <w:rPr>
          <w:sz w:val="28"/>
        </w:rPr>
        <w:t>;</w:t>
      </w:r>
    </w:p>
    <w:p w14:paraId="E7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8 (863)249-16-12 – отдел иммиграционного контроля (незаконное нахождение ИГ в РФ)</w:t>
      </w:r>
      <w:r>
        <w:rPr>
          <w:sz w:val="28"/>
        </w:rPr>
        <w:t>;</w:t>
      </w:r>
    </w:p>
    <w:p w14:paraId="E8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8 (863)249-39-75 – отдел оформления виз приглашений, разрешений и регистрации иностранных граждан (миграционный учет)</w:t>
      </w:r>
      <w:r>
        <w:rPr>
          <w:sz w:val="28"/>
        </w:rPr>
        <w:t>;</w:t>
      </w:r>
    </w:p>
    <w:p w14:paraId="E9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8 (863)249-10-83 отдел по оформлению разрешений на временное проживание и видов на жительство (РВП, ВНЖ, визы)</w:t>
      </w:r>
      <w:r>
        <w:rPr>
          <w:sz w:val="28"/>
        </w:rPr>
        <w:t>;</w:t>
      </w:r>
    </w:p>
    <w:p w14:paraId="EA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 xml:space="preserve">8 (863)249-15-08 </w:t>
      </w:r>
      <w:r>
        <w:rPr>
          <w:sz w:val="28"/>
        </w:rPr>
        <w:t>– отдел по вопросам гражданства.</w:t>
      </w:r>
    </w:p>
    <w:p w14:paraId="EB010000">
      <w:pPr>
        <w:pStyle w:val="Style_6"/>
        <w:ind w:firstLine="851" w:left="0"/>
        <w:jc w:val="both"/>
        <w:rPr>
          <w:b w:val="0"/>
        </w:rPr>
      </w:pPr>
    </w:p>
    <w:p w14:paraId="EC010000">
      <w:pPr>
        <w:ind w:firstLine="851" w:left="0"/>
        <w:jc w:val="both"/>
        <w:rPr>
          <w:b w:val="1"/>
          <w:i w:val="1"/>
          <w:sz w:val="28"/>
          <w:u w:val="single"/>
        </w:rPr>
      </w:pPr>
    </w:p>
    <w:p w14:paraId="ED010000">
      <w:pPr>
        <w:ind w:firstLine="851" w:left="0"/>
        <w:jc w:val="both"/>
        <w:rPr>
          <w:b w:val="1"/>
          <w:i w:val="1"/>
          <w:sz w:val="28"/>
        </w:rPr>
      </w:pPr>
    </w:p>
    <w:sectPr>
      <w:pgSz w:h="16840" w:orient="portrait" w:w="11910"/>
      <w:pgMar w:bottom="280" w:footer="720" w:gutter="0" w:header="720" w:left="1000" w:right="420" w:top="6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EE010000">
      <w:pPr>
        <w:pStyle w:val="Style_23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2">
    <w:p w14:paraId="EF010000">
      <w:pPr>
        <w:pStyle w:val="Style_23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3">
    <w:p w14:paraId="F0010000">
      <w:pPr>
        <w:pStyle w:val="Style_23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05" w:left="97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305" w:left="1930"/>
      </w:pPr>
    </w:lvl>
    <w:lvl w:ilvl="2">
      <w:numFmt w:val="bullet"/>
      <w:lvlText w:val="•"/>
      <w:lvlJc w:val="left"/>
      <w:pPr>
        <w:ind w:hanging="305" w:left="2881"/>
      </w:pPr>
    </w:lvl>
    <w:lvl w:ilvl="3">
      <w:numFmt w:val="bullet"/>
      <w:lvlText w:val="•"/>
      <w:lvlJc w:val="left"/>
      <w:pPr>
        <w:ind w:hanging="305" w:left="3831"/>
      </w:pPr>
    </w:lvl>
    <w:lvl w:ilvl="4">
      <w:numFmt w:val="bullet"/>
      <w:lvlText w:val="•"/>
      <w:lvlJc w:val="left"/>
      <w:pPr>
        <w:ind w:hanging="305" w:left="4782"/>
      </w:pPr>
    </w:lvl>
    <w:lvl w:ilvl="5">
      <w:numFmt w:val="bullet"/>
      <w:lvlText w:val="•"/>
      <w:lvlJc w:val="left"/>
      <w:pPr>
        <w:ind w:hanging="305" w:left="5733"/>
      </w:pPr>
    </w:lvl>
    <w:lvl w:ilvl="6">
      <w:numFmt w:val="bullet"/>
      <w:lvlText w:val="•"/>
      <w:lvlJc w:val="left"/>
      <w:pPr>
        <w:ind w:hanging="305" w:left="6683"/>
      </w:pPr>
    </w:lvl>
    <w:lvl w:ilvl="7">
      <w:numFmt w:val="bullet"/>
      <w:lvlText w:val="•"/>
      <w:lvlJc w:val="left"/>
      <w:pPr>
        <w:ind w:hanging="305" w:left="7634"/>
      </w:pPr>
    </w:lvl>
    <w:lvl w:ilvl="8">
      <w:numFmt w:val="bullet"/>
      <w:lvlText w:val="•"/>
      <w:lvlJc w:val="left"/>
      <w:pPr>
        <w:ind w:hanging="305" w:left="8585"/>
      </w:pPr>
    </w:lvl>
  </w:abstractNum>
  <w:abstractNum w:abstractNumId="2">
    <w:lvl w:ilvl="0">
      <w:start w:val="1"/>
      <w:numFmt w:val="bullet"/>
      <w:lvlText w:val=""/>
      <w:lvlJc w:val="left"/>
      <w:pPr>
        <w:ind w:hanging="360" w:left="853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57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9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13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733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453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73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9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13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lvlJc w:val="left"/>
      <w:pPr>
        <w:ind w:hanging="209" w:left="133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209" w:left="1174"/>
      </w:pPr>
    </w:lvl>
    <w:lvl w:ilvl="2">
      <w:numFmt w:val="bullet"/>
      <w:lvlText w:val="•"/>
      <w:lvlJc w:val="left"/>
      <w:pPr>
        <w:ind w:hanging="209" w:left="2209"/>
      </w:pPr>
    </w:lvl>
    <w:lvl w:ilvl="3">
      <w:numFmt w:val="bullet"/>
      <w:lvlText w:val="•"/>
      <w:lvlJc w:val="left"/>
      <w:pPr>
        <w:ind w:hanging="209" w:left="3243"/>
      </w:pPr>
    </w:lvl>
    <w:lvl w:ilvl="4">
      <w:numFmt w:val="bullet"/>
      <w:lvlText w:val="•"/>
      <w:lvlJc w:val="left"/>
      <w:pPr>
        <w:ind w:hanging="209" w:left="4278"/>
      </w:pPr>
    </w:lvl>
    <w:lvl w:ilvl="5">
      <w:numFmt w:val="bullet"/>
      <w:lvlText w:val="•"/>
      <w:lvlJc w:val="left"/>
      <w:pPr>
        <w:ind w:hanging="209" w:left="5313"/>
      </w:pPr>
    </w:lvl>
    <w:lvl w:ilvl="6">
      <w:numFmt w:val="bullet"/>
      <w:lvlText w:val="•"/>
      <w:lvlJc w:val="left"/>
      <w:pPr>
        <w:ind w:hanging="209" w:left="6347"/>
      </w:pPr>
    </w:lvl>
    <w:lvl w:ilvl="7">
      <w:numFmt w:val="bullet"/>
      <w:lvlText w:val="•"/>
      <w:lvlJc w:val="left"/>
      <w:pPr>
        <w:ind w:hanging="209" w:left="7382"/>
      </w:pPr>
    </w:lvl>
    <w:lvl w:ilvl="8">
      <w:numFmt w:val="bullet"/>
      <w:lvlText w:val="•"/>
      <w:lvlJc w:val="left"/>
      <w:pPr>
        <w:ind w:hanging="209" w:left="8417"/>
      </w:pPr>
    </w:lvl>
  </w:abstractNum>
  <w:abstractNum w:abstractNumId="6"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lvlJc w:val="left"/>
      <w:pPr>
        <w:ind w:hanging="360" w:left="77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97"/>
      </w:pPr>
    </w:lvl>
    <w:lvl w:ilvl="2">
      <w:start w:val="1"/>
      <w:numFmt w:val="lowerRoman"/>
      <w:lvlText w:val="%3."/>
      <w:lvlJc w:val="right"/>
      <w:pPr>
        <w:ind w:hanging="180" w:left="2217"/>
      </w:pPr>
    </w:lvl>
    <w:lvl w:ilvl="3">
      <w:start w:val="1"/>
      <w:numFmt w:val="decimal"/>
      <w:lvlText w:val="%4."/>
      <w:lvlJc w:val="left"/>
      <w:pPr>
        <w:ind w:hanging="360" w:left="2937"/>
      </w:pPr>
    </w:lvl>
    <w:lvl w:ilvl="4">
      <w:start w:val="1"/>
      <w:numFmt w:val="lowerLetter"/>
      <w:lvlText w:val="%5."/>
      <w:lvlJc w:val="left"/>
      <w:pPr>
        <w:ind w:hanging="360" w:left="3657"/>
      </w:pPr>
    </w:lvl>
    <w:lvl w:ilvl="5">
      <w:start w:val="1"/>
      <w:numFmt w:val="lowerRoman"/>
      <w:lvlText w:val="%6."/>
      <w:lvlJc w:val="right"/>
      <w:pPr>
        <w:ind w:hanging="180" w:left="4377"/>
      </w:pPr>
    </w:lvl>
    <w:lvl w:ilvl="6">
      <w:start w:val="1"/>
      <w:numFmt w:val="decimal"/>
      <w:lvlText w:val="%7."/>
      <w:lvlJc w:val="left"/>
      <w:pPr>
        <w:ind w:hanging="360" w:left="5097"/>
      </w:pPr>
    </w:lvl>
    <w:lvl w:ilvl="7">
      <w:start w:val="1"/>
      <w:numFmt w:val="lowerLetter"/>
      <w:lvlText w:val="%8."/>
      <w:lvlJc w:val="left"/>
      <w:pPr>
        <w:ind w:hanging="360" w:left="5817"/>
      </w:pPr>
    </w:lvl>
    <w:lvl w:ilvl="8">
      <w:start w:val="1"/>
      <w:numFmt w:val="lowerRoman"/>
      <w:lvlText w:val="%9."/>
      <w:lvlJc w:val="right"/>
      <w:pPr>
        <w:ind w:hanging="180" w:left="6537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rFonts w:ascii="Times New Roman" w:hAnsi="Times New Roman"/>
    </w:rPr>
  </w:style>
  <w:style w:default="1" w:styleId="Style_11_ch" w:type="character">
    <w:name w:val="Normal"/>
    <w:link w:val="Style_11"/>
    <w:rPr>
      <w:rFonts w:ascii="Times New Roman" w:hAnsi="Times New Roman"/>
    </w:rPr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5" w:type="paragraph">
    <w:name w:val="List Paragraph"/>
    <w:basedOn w:val="Style_11"/>
    <w:link w:val="Style_5_ch"/>
    <w:pPr>
      <w:ind w:firstLine="540" w:left="133"/>
    </w:pPr>
  </w:style>
  <w:style w:styleId="Style_5_ch" w:type="character">
    <w:name w:val="List Paragraph"/>
    <w:basedOn w:val="Style_11_ch"/>
    <w:link w:val="Style_5"/>
  </w:style>
  <w:style w:styleId="Style_1" w:type="paragraph">
    <w:name w:val="Body Text"/>
    <w:basedOn w:val="Style_11"/>
    <w:link w:val="Style_1_ch"/>
    <w:pPr>
      <w:ind w:firstLine="540" w:left="133"/>
    </w:pPr>
    <w:rPr>
      <w:sz w:val="28"/>
    </w:rPr>
  </w:style>
  <w:style w:styleId="Style_1_ch" w:type="character">
    <w:name w:val="Body Text"/>
    <w:basedOn w:val="Style_11_ch"/>
    <w:link w:val="Style_1"/>
    <w:rPr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11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2" w:type="paragraph">
    <w:name w:val="Normal (Web)"/>
    <w:basedOn w:val="Style_11"/>
    <w:link w:val="Style_2_ch"/>
    <w:pPr>
      <w:widowControl w:val="1"/>
      <w:spacing w:afterAutospacing="on" w:beforeAutospacing="on"/>
      <w:ind/>
    </w:pPr>
    <w:rPr>
      <w:sz w:val="24"/>
    </w:rPr>
  </w:style>
  <w:style w:styleId="Style_2_ch" w:type="character">
    <w:name w:val="Normal (Web)"/>
    <w:basedOn w:val="Style_11_ch"/>
    <w:link w:val="Style_2"/>
    <w:rPr>
      <w:sz w:val="24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eading 3"/>
    <w:next w:val="Style_11"/>
    <w:link w:val="Style_1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7_ch" w:type="character">
    <w:name w:val="heading 3"/>
    <w:link w:val="Style_17"/>
    <w:rPr>
      <w:rFonts w:ascii="XO Thames" w:hAnsi="XO Thames"/>
      <w:b w:val="1"/>
      <w:i w:val="1"/>
    </w:rPr>
  </w:style>
  <w:style w:styleId="Style_7" w:type="paragraph">
    <w:name w:val="No Spacing"/>
    <w:link w:val="Style_7_ch"/>
    <w:pPr>
      <w:widowControl w:val="1"/>
      <w:ind/>
    </w:pPr>
    <w:rPr>
      <w:rFonts w:ascii="Calibri" w:hAnsi="Calibri"/>
    </w:rPr>
  </w:style>
  <w:style w:styleId="Style_7_ch" w:type="character">
    <w:name w:val="No Spacing"/>
    <w:link w:val="Style_7"/>
    <w:rPr>
      <w:rFonts w:ascii="Calibri" w:hAnsi="Calibri"/>
    </w:rPr>
  </w:style>
  <w:style w:styleId="Style_18" w:type="paragraph">
    <w:name w:val="toc 3"/>
    <w:next w:val="Style_11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3" w:type="paragraph">
    <w:name w:val="Строгий1"/>
    <w:basedOn w:val="Style_16"/>
    <w:link w:val="Style_3_ch"/>
    <w:rPr>
      <w:b w:val="1"/>
    </w:rPr>
  </w:style>
  <w:style w:styleId="Style_3_ch" w:type="character">
    <w:name w:val="Строгий1"/>
    <w:basedOn w:val="Style_16_ch"/>
    <w:link w:val="Style_3"/>
    <w:rPr>
      <w:b w:val="1"/>
    </w:rPr>
  </w:style>
  <w:style w:styleId="Style_19" w:type="paragraph">
    <w:name w:val="Balloon Text"/>
    <w:basedOn w:val="Style_11"/>
    <w:link w:val="Style_19_ch"/>
    <w:rPr>
      <w:rFonts w:ascii="Tahoma" w:hAnsi="Tahoma"/>
      <w:sz w:val="16"/>
    </w:rPr>
  </w:style>
  <w:style w:styleId="Style_19_ch" w:type="character">
    <w:name w:val="Balloon Text"/>
    <w:basedOn w:val="Style_11_ch"/>
    <w:link w:val="Style_19"/>
    <w:rPr>
      <w:rFonts w:ascii="Tahoma" w:hAnsi="Tahoma"/>
      <w:sz w:val="16"/>
    </w:rPr>
  </w:style>
  <w:style w:styleId="Style_20" w:type="paragraph">
    <w:name w:val="toc 10"/>
    <w:next w:val="Style_11"/>
    <w:link w:val="Style_20_ch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6" w:type="paragraph">
    <w:name w:val="heading 1"/>
    <w:basedOn w:val="Style_11"/>
    <w:link w:val="Style_6_ch"/>
    <w:uiPriority w:val="9"/>
    <w:qFormat/>
    <w:pPr>
      <w:ind w:firstLine="0" w:left="133"/>
      <w:outlineLvl w:val="0"/>
    </w:pPr>
    <w:rPr>
      <w:b w:val="1"/>
      <w:sz w:val="28"/>
    </w:rPr>
  </w:style>
  <w:style w:styleId="Style_6_ch" w:type="character">
    <w:name w:val="heading 1"/>
    <w:basedOn w:val="Style_11_ch"/>
    <w:link w:val="Style_6"/>
    <w:rPr>
      <w:b w:val="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basedOn w:val="Style_11"/>
    <w:link w:val="Style_23_ch"/>
    <w:pPr>
      <w:widowControl w:val="1"/>
      <w:ind/>
    </w:pPr>
    <w:rPr>
      <w:sz w:val="20"/>
    </w:rPr>
  </w:style>
  <w:style w:styleId="Style_23_ch" w:type="character">
    <w:name w:val="Footnote"/>
    <w:basedOn w:val="Style_11_ch"/>
    <w:link w:val="Style_23"/>
    <w:rPr>
      <w:sz w:val="20"/>
    </w:rPr>
  </w:style>
  <w:style w:styleId="Style_24" w:type="paragraph">
    <w:name w:val="toc 1"/>
    <w:next w:val="Style_11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9"/>
    <w:next w:val="Style_1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1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10" w:type="paragraph">
    <w:name w:val="ConsPlusNormal"/>
    <w:link w:val="Style_10_ch"/>
    <w:pPr>
      <w:widowControl w:val="1"/>
      <w:ind/>
    </w:pPr>
    <w:rPr>
      <w:rFonts w:ascii="Times New Roman" w:hAnsi="Times New Roman"/>
      <w:sz w:val="28"/>
    </w:rPr>
  </w:style>
  <w:style w:styleId="Style_10_ch" w:type="character">
    <w:name w:val="ConsPlusNormal"/>
    <w:link w:val="Style_10"/>
    <w:rPr>
      <w:rFonts w:ascii="Times New Roman" w:hAnsi="Times New Roman"/>
      <w:sz w:val="28"/>
    </w:rPr>
  </w:style>
  <w:style w:styleId="Style_29" w:type="paragraph">
    <w:name w:val="Обычный1"/>
    <w:link w:val="Style_29_ch"/>
    <w:rPr>
      <w:rFonts w:ascii="Times New Roman" w:hAnsi="Times New Roman"/>
    </w:rPr>
  </w:style>
  <w:style w:styleId="Style_29_ch" w:type="character">
    <w:name w:val="Обычный1"/>
    <w:link w:val="Style_29"/>
    <w:rPr>
      <w:rFonts w:ascii="Times New Roman" w:hAnsi="Times New Roman"/>
    </w:rPr>
  </w:style>
  <w:style w:styleId="Style_8" w:type="paragraph">
    <w:name w:val="Знак сноски1"/>
    <w:link w:val="Style_8_ch"/>
    <w:rPr>
      <w:vertAlign w:val="superscript"/>
    </w:rPr>
  </w:style>
  <w:style w:styleId="Style_8_ch" w:type="character">
    <w:name w:val="Знак сноски1"/>
    <w:link w:val="Style_8"/>
    <w:rPr>
      <w:vertAlign w:val="superscript"/>
    </w:rPr>
  </w:style>
  <w:style w:styleId="Style_30" w:type="paragraph">
    <w:name w:val="toc 5"/>
    <w:next w:val="Style_1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Table Paragraph"/>
    <w:basedOn w:val="Style_11"/>
    <w:link w:val="Style_31_ch"/>
  </w:style>
  <w:style w:styleId="Style_31_ch" w:type="character">
    <w:name w:val="Table Paragraph"/>
    <w:basedOn w:val="Style_11_ch"/>
    <w:link w:val="Style_31"/>
  </w:style>
  <w:style w:styleId="Style_32" w:type="paragraph">
    <w:name w:val="Subtitle"/>
    <w:next w:val="Style_11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itle"/>
    <w:next w:val="Style_1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4" w:type="paragraph">
    <w:name w:val="Гиперссылка1"/>
    <w:basedOn w:val="Style_16"/>
    <w:link w:val="Style_4_ch"/>
    <w:rPr>
      <w:color w:val="0000FF"/>
      <w:u w:val="single"/>
    </w:rPr>
  </w:style>
  <w:style w:styleId="Style_4_ch" w:type="character">
    <w:name w:val="Гиперссылка1"/>
    <w:basedOn w:val="Style_16_ch"/>
    <w:link w:val="Style_4"/>
    <w:rPr>
      <w:color w:val="0000FF"/>
      <w:u w:val="single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" w:type="table">
    <w:name w:val="Table Grid"/>
    <w:basedOn w:val="Style_3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8" Target="numbering.xml" Type="http://schemas.openxmlformats.org/officeDocument/2006/relationships/numbering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2022-07-19T11:51:19Z</dcterms:modified>
</cp:coreProperties>
</file>