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22EF9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222EF9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222EF9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222EF9">
        <w:rPr>
          <w:sz w:val="28"/>
          <w:szCs w:val="28"/>
        </w:rPr>
        <w:t>18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C04FD1" w:rsidRPr="00C04FD1">
        <w:rPr>
          <w:rFonts w:hint="eastAsia"/>
          <w:b/>
          <w:sz w:val="28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C04FD1" w:rsidRPr="00C04FD1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39155F" w:rsidRDefault="0039155F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39155F">
      <w:pPr>
        <w:pStyle w:val="ConsPlusCell"/>
        <w:ind w:firstLine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39155F">
      <w:pPr>
        <w:pStyle w:val="ConsPlusCell"/>
        <w:ind w:firstLine="709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39155F">
      <w:pPr>
        <w:pStyle w:val="ConsPlusCell"/>
        <w:ind w:firstLine="709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39155F" w:rsidRDefault="0039155F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39155F" w:rsidRDefault="0039155F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222EF9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222E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22EF9">
        <w:rPr>
          <w:rFonts w:ascii="Times New Roman" w:eastAsia="Times New Roman" w:hAnsi="Times New Roman" w:cs="Times New Roman"/>
          <w:kern w:val="0"/>
          <w:lang w:eastAsia="ru-RU" w:bidi="ar-SA"/>
        </w:rPr>
        <w:t>18</w:t>
      </w:r>
      <w:bookmarkStart w:id="0" w:name="_GoBack"/>
      <w:bookmarkEnd w:id="0"/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Отчет 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о реализации муниципальной программы </w:t>
      </w:r>
    </w:p>
    <w:p w:rsidR="00635DE8" w:rsidRPr="00065B54" w:rsidRDefault="0015192B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Васильево-Ханжоновского</w:t>
      </w:r>
      <w:r w:rsidR="00635DE8" w:rsidRPr="00065B54">
        <w:rPr>
          <w:rFonts w:ascii="Times New Roman" w:eastAsia="Calibri" w:hAnsi="Times New Roman" w:cs="Times New Roman"/>
          <w:kern w:val="0"/>
          <w:lang w:eastAsia="en-US" w:bidi="ar-SA"/>
        </w:rPr>
        <w:t xml:space="preserve"> сельского поселения</w:t>
      </w:r>
    </w:p>
    <w:p w:rsidR="00635DE8" w:rsidRPr="00065B54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C04FD1" w:rsidRPr="00C04FD1">
        <w:rPr>
          <w:rFonts w:ascii="Times New Roman" w:eastAsia="Calibri" w:hAnsi="Times New Roman" w:cs="Times New Roman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065B54">
        <w:rPr>
          <w:rFonts w:ascii="Times New Roman" w:eastAsia="Calibri" w:hAnsi="Times New Roman" w:cs="Times New Roman"/>
          <w:kern w:val="0"/>
          <w:lang w:eastAsia="en-US" w:bidi="ar-SA"/>
        </w:rPr>
        <w:t>» за 2022 год</w:t>
      </w:r>
    </w:p>
    <w:p w:rsid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39155F" w:rsidRPr="0039155F" w:rsidRDefault="0039155F" w:rsidP="0039155F">
      <w:pPr>
        <w:widowControl/>
        <w:tabs>
          <w:tab w:val="left" w:pos="135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постановлением Администрации 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ого поселения </w:t>
      </w:r>
      <w:r w:rsidR="00065B54" w:rsidRPr="00065B54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065B54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</w:t>
      </w:r>
      <w:r w:rsidR="00ED3FB6">
        <w:rPr>
          <w:rFonts w:ascii="Times New Roman" w:eastAsia="Times New Roman" w:hAnsi="Times New Roman" w:cs="Times New Roman"/>
          <w:kern w:val="0"/>
          <w:lang w:eastAsia="ru-RU" w:bidi="ar-SA"/>
        </w:rPr>
        <w:t>кого поселения от 09.01.2019 № 6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поселения от 19.01.2022 г. № 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5 утвержден план реализации муниципальной п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рограммы на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</w:t>
      </w:r>
      <w:r w:rsidR="00D2120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района относительно уровня 2021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года.</w:t>
      </w:r>
    </w:p>
    <w:p w:rsidR="0039155F" w:rsidRPr="0039155F" w:rsidRDefault="0039155F" w:rsidP="00D2120E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39155F" w:rsidRPr="0039155F" w:rsidRDefault="0039155F" w:rsidP="0039155F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proofErr w:type="spellStart"/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Энергоэффективность</w:t>
      </w:r>
      <w:proofErr w:type="spellEnd"/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</w:t>
      </w:r>
      <w:r w:rsidR="00ED3FB6"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Создание условий для обеспечения качественными коммунальными услугами населения Васильево-Ханжоновского сельского поселения</w:t>
      </w:r>
      <w:r w:rsidR="00ED3FB6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</w:t>
      </w:r>
      <w:r w:rsidR="00ED3FB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поселения от 09.01.2019 № 6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5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202</w:t>
      </w:r>
      <w:r w:rsidR="00D212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39155F" w:rsidRPr="0039155F" w:rsidRDefault="00ED3FB6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Мероприятия по Подпрограмме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</w:t>
      </w:r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 «</w:t>
      </w:r>
      <w:proofErr w:type="spellStart"/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 xml:space="preserve">» (далее – подпрограмма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</w:t>
      </w:r>
      <w:r w:rsidRPr="00ED3FB6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) на 2022 год не планировались и не реализовывались</w:t>
      </w:r>
      <w:r w:rsidR="00FC6587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</w:p>
    <w:p w:rsidR="00FC6587" w:rsidRPr="0039155F" w:rsidRDefault="00FC658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>На реализацию основн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ых мероприятий по Подпрограмме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Создание условий для обеспечения качественными коммунальными услугами населения Васильево-Ханжоновского сельского поселения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» (далее – подпрограмма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) на 2022 год предусмотрено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92,0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рублей. По состоянию на 01.01.2023 фактическое освоение средств составило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тыс. руб. Осн</w:t>
      </w:r>
      <w:r w:rsidR="002C33E6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овные мероприятия подпрограммы </w:t>
      </w:r>
      <w:r w:rsidR="00ED3FB6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FC658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реализуются в течение 2022 года на постоянной основе.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Отчет об исполнении плана  реализации муниципальной программы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ED3FB6" w:rsidRPr="00ED3FB6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отчетный период 20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22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год представлен по форме таблицы 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, утвержденным распоряжением Администрации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2C33E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16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.0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>.201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№ 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3915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(далее – Методические рекомендации).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ю муниципальной программы в 2022 году предусмотрено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92,0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2C33E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пальной программы по </w:t>
      </w:r>
      <w:r w:rsidR="00DF6AD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итогам 2022 года составило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рублей, в том числе по источникам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бюджета –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256F98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поселения представлены в приложении №2 к отчету о реализации муниципальной программы (форма таблицы 12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bookmarkStart w:id="1" w:name="_Hlk2603776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населенных пунктов Васильево-Ханжоновского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поселения»</w:t>
      </w:r>
      <w:bookmarkEnd w:id="1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2 показателя (индикатора), подпрограммой «</w:t>
      </w:r>
      <w:r w:rsidR="00E8671A" w:rsidRPr="00E8671A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благоустройства и озеленения территории сельского поселения, воспроизводство многолетних насаждений расположенных в границах сельского поселения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 предусмотрен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о 2 показателя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(индикатор</w:t>
      </w:r>
      <w:r w:rsidR="00E8671A">
        <w:rPr>
          <w:rFonts w:ascii="Times New Roman" w:eastAsia="Times New Roman" w:hAnsi="Times New Roman" w:cs="Times New Roman"/>
          <w:kern w:val="0"/>
          <w:lang w:eastAsia="en-US" w:bidi="ar-SA"/>
        </w:rPr>
        <w:t>а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), 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подпрограммой «Организация прочих мероприятий по благоустройству территории сельского поселения» предусмотрен 1 показатель (индикатор)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связи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 отсутствием планируемых мероприятий по подпрограмме «</w:t>
      </w:r>
      <w:r w:rsidR="00060B97"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Организация содержания мест захоронения в сельском поселении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», показатели (индикаторы) по данной подпрограмме не анализируются.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Из 3 показателей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3 фактические значения соответствуют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подпрограммы с обоснованием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2019 № 6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60B97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 в течение 2022 года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принято 1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ю программу: от</w:t>
      </w:r>
      <w:proofErr w:type="gramEnd"/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19.01.2022г. № 1.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Сведения о результатах оценки бюджетной эффективности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1) Степень достижения целевых показателей муниципальной программы, подпрограмм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-Программа 1: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2: 48/48=1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2.1: 28 / 28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индикатор 2.2: 100 / 99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    1 + 1 +1,01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  <w:t>3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муниципальной программы в отчетном году;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муниципальной программы в отчетном году.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91,8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92,0 = 0,99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39155F" w:rsidRPr="0039155F" w:rsidRDefault="0039155F" w:rsidP="00F805B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020E28B1" wp14:editId="743BB795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ю расходов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района.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0,99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= 1,01 х 0,5 + 1 х 0,3 + 1,01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х 0,2 = 1,01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39155F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7. Результаты реализации мер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060B97">
        <w:rPr>
          <w:rFonts w:ascii="Times New Roman" w:eastAsia="Times New Roman" w:hAnsi="Times New Roman" w:cs="Times New Roman"/>
          <w:kern w:val="0"/>
          <w:lang w:eastAsia="en-US" w:bidi="ar-SA"/>
        </w:rPr>
        <w:t>» на 2022</w:t>
      </w: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39155F" w:rsidRPr="0039155F" w:rsidRDefault="00060B97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 года было внесено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5 изменений в постановление Администрации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</w:t>
      </w:r>
      <w:r w:rsidR="00F805BB">
        <w:rPr>
          <w:rFonts w:ascii="Times New Roman" w:eastAsia="Times New Roman" w:hAnsi="Times New Roman" w:cs="Times New Roman"/>
          <w:kern w:val="0"/>
          <w:lang w:eastAsia="en-US" w:bidi="ar-SA"/>
        </w:rPr>
        <w:t>19 № 6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</w:t>
      </w:r>
      <w:r w:rsidRPr="00060B9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 утверждении  муниципальной  программы  Васильево-Ханжоновского   сельского   поселения   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Обеспечение качественными жилищно-коммунальными услугами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39155F" w:rsidRPr="0039155F" w:rsidRDefault="0039155F" w:rsidP="0039155F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8. Предложения по дальнейшей реализации</w:t>
      </w:r>
    </w:p>
    <w:p w:rsidR="0039155F" w:rsidRPr="0039155F" w:rsidRDefault="0039155F" w:rsidP="0039155F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39155F" w:rsidRPr="0039155F" w:rsidRDefault="0039155F" w:rsidP="00F805B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39155F" w:rsidRPr="0039155F" w:rsidSect="00065B54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39155F" w:rsidRPr="0039155F" w:rsidRDefault="0090796A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2022 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году муниципальной программы</w:t>
      </w:r>
    </w:p>
    <w:p w:rsidR="0090796A" w:rsidRDefault="0090796A" w:rsidP="0090796A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F805BB" w:rsidRDefault="0039155F" w:rsidP="00F805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F805BB" w:rsidRPr="00F805BB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качественными жилищно-коммунальными услугами</w:t>
      </w:r>
    </w:p>
    <w:p w:rsidR="0039155F" w:rsidRPr="0039155F" w:rsidRDefault="00F805BB" w:rsidP="00F805B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805B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9155F" w:rsidRPr="0039155F" w:rsidRDefault="0090796A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559"/>
        <w:gridCol w:w="1843"/>
        <w:gridCol w:w="1985"/>
        <w:gridCol w:w="1275"/>
      </w:tblGrid>
      <w:tr w:rsidR="0039155F" w:rsidRPr="0039155F" w:rsidTr="00065B54">
        <w:trPr>
          <w:trHeight w:val="552"/>
        </w:trPr>
        <w:tc>
          <w:tcPr>
            <w:tcW w:w="710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39155F" w:rsidRPr="0039155F" w:rsidTr="00065B54">
        <w:tc>
          <w:tcPr>
            <w:tcW w:w="710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275" w:type="dxa"/>
            <w:vMerge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9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1F5C12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proofErr w:type="spellStart"/>
            <w:r w:rsidR="00F805BB" w:rsidRPr="00F805B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F805BB" w:rsidRDefault="00F805BB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2.</w:t>
            </w:r>
          </w:p>
          <w:p w:rsidR="0039155F" w:rsidRPr="0039155F" w:rsidRDefault="00F805BB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Pr="00F805B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Создание условий для обеспечения качественными услугами населения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DF6AD7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DF6AD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</w:t>
            </w:r>
            <w:r w:rsidR="00DF6AD7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,0</w:t>
            </w:r>
          </w:p>
          <w:p w:rsidR="0039155F" w:rsidRPr="0039155F" w:rsidRDefault="0039155F" w:rsidP="0039155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91,8</w:t>
            </w:r>
          </w:p>
          <w:p w:rsidR="0039155F" w:rsidRPr="0039155F" w:rsidRDefault="0039155F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7375D4">
        <w:tc>
          <w:tcPr>
            <w:tcW w:w="710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3685" w:type="dxa"/>
          </w:tcPr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2.1</w:t>
            </w:r>
          </w:p>
          <w:p w:rsidR="0039155F" w:rsidRPr="0039155F" w:rsidRDefault="00F805BB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805BB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Строительство газовых сетей, включая  разработку проектно-сметной документации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, а также техническое обслуживание сетей газового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F805BB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Администрация </w:t>
            </w:r>
            <w:r w:rsidR="00F805BB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Васильево-Ханжоновского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01.01.2020</w:t>
            </w: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92,0</w:t>
            </w:r>
          </w:p>
          <w:p w:rsidR="0039155F" w:rsidRPr="0039155F" w:rsidRDefault="007375D4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П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овышение надёжности работы системы коммунальной инфраструктуры Васильево-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Ханжоновского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F805BB" w:rsidP="007375D4">
            <w:pPr>
              <w:widowControl/>
              <w:numPr>
                <w:ilvl w:val="0"/>
                <w:numId w:val="22"/>
              </w:numPr>
              <w:tabs>
                <w:tab w:val="num" w:pos="179"/>
              </w:tabs>
              <w:suppressAutoHyphens w:val="0"/>
              <w:autoSpaceDN/>
              <w:ind w:hanging="709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lastRenderedPageBreak/>
              <w:t>91,8</w:t>
            </w:r>
          </w:p>
          <w:p w:rsidR="0039155F" w:rsidRPr="0039155F" w:rsidRDefault="007375D4" w:rsidP="007375D4">
            <w:pPr>
              <w:widowControl/>
              <w:tabs>
                <w:tab w:val="num" w:pos="179"/>
              </w:tabs>
              <w:suppressAutoHyphens w:val="0"/>
              <w:autoSpaceDN/>
              <w:ind w:left="432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нижение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уровня</w:t>
            </w: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 xml:space="preserve"> 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износа объектов коммунальной инфраструкт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lastRenderedPageBreak/>
              <w:t>уры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c>
          <w:tcPr>
            <w:tcW w:w="710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39155F" w:rsidP="0039155F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</w:p>
        </w:tc>
        <w:tc>
          <w:tcPr>
            <w:tcW w:w="1133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7375D4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55F" w:rsidRPr="0039155F" w:rsidRDefault="007375D4" w:rsidP="0039155F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91,8</w:t>
            </w:r>
          </w:p>
        </w:tc>
        <w:tc>
          <w:tcPr>
            <w:tcW w:w="1275" w:type="dxa"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F6AD7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375D4" w:rsidRDefault="007375D4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39155F" w:rsidRPr="0039155F" w:rsidRDefault="00DF6AD7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DF6AD7" w:rsidRDefault="00DF6AD7" w:rsidP="00DF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7375D4" w:rsidRPr="007375D4" w:rsidRDefault="0039155F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7375D4"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Обеспечение качественными жилищно-коммунальными услугами</w:t>
      </w:r>
    </w:p>
    <w:p w:rsidR="0039155F" w:rsidRPr="0039155F" w:rsidRDefault="007375D4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 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39155F" w:rsidRPr="0039155F" w:rsidRDefault="00DF6AD7" w:rsidP="0039155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9"/>
        <w:gridCol w:w="3402"/>
        <w:gridCol w:w="2268"/>
        <w:gridCol w:w="1985"/>
        <w:gridCol w:w="2693"/>
      </w:tblGrid>
      <w:tr w:rsidR="0039155F" w:rsidRPr="0039155F" w:rsidTr="00065B54">
        <w:trPr>
          <w:trHeight w:val="30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39155F" w:rsidRPr="0039155F" w:rsidTr="00065B54">
        <w:trPr>
          <w:trHeight w:val="756"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39155F" w:rsidRPr="00DF6AD7" w:rsidRDefault="0039155F" w:rsidP="007375D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«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Обеспечение качественными</w:t>
            </w:r>
            <w:r w:rsid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 xml:space="preserve"> жилищно-коммунальными услугами</w:t>
            </w:r>
            <w:r w:rsidR="007375D4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 xml:space="preserve"> 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ar-SA" w:bidi="ar-SA"/>
              </w:rPr>
              <w:t>населения Васильево-Ханжоновского 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ar-SA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7375D4" w:rsidRPr="0039155F" w:rsidTr="00065B54">
        <w:trPr>
          <w:trHeight w:val="30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39155F" w:rsidRPr="0039155F" w:rsidTr="00065B54">
        <w:trPr>
          <w:trHeight w:val="38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1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226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279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39155F" w:rsidRPr="0039155F" w:rsidTr="00065B54">
        <w:trPr>
          <w:trHeight w:val="320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«</w:t>
            </w:r>
            <w:proofErr w:type="spellStart"/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szCs w:val="28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181068" w:rsidRPr="0039155F" w:rsidTr="00065B54">
        <w:trPr>
          <w:trHeight w:val="24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68" w:rsidRPr="0039155F" w:rsidRDefault="00181068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81068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7375D4" w:rsidP="00C04FD1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67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34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9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262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2.</w:t>
            </w:r>
          </w:p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Создание условий для обеспечения качественными услугами населения 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Васильево-Ханжоновского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D4" w:rsidRPr="0039155F" w:rsidRDefault="007375D4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безвозмездные поступления в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бюджет поселения, &lt;2&gt;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39155F" w:rsidRPr="0039155F" w:rsidTr="00065B54">
        <w:trPr>
          <w:trHeight w:val="328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</w:tr>
      <w:tr w:rsidR="007375D4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39155F" w:rsidRDefault="007375D4" w:rsidP="004723A3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91,8</w:t>
            </w:r>
          </w:p>
        </w:tc>
      </w:tr>
      <w:tr w:rsidR="00DF6AD7" w:rsidRPr="0039155F" w:rsidTr="00065B54">
        <w:trPr>
          <w:trHeight w:val="32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7" w:rsidRPr="0039155F" w:rsidRDefault="00DF6AD7" w:rsidP="0039155F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В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39155F" w:rsidRPr="0039155F" w:rsidRDefault="0039155F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r w:rsidRPr="0039155F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lang w:eastAsia="ru-RU" w:bidi="ar-SA"/>
        </w:rPr>
        <w:t>&lt;</w:t>
      </w:r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2</w:t>
      </w:r>
      <w:proofErr w:type="gramStart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&gt; З</w:t>
      </w:r>
      <w:proofErr w:type="gramEnd"/>
      <w:r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аполняется в случае наличия указанных средств.</w:t>
      </w:r>
    </w:p>
    <w:p w:rsidR="0039155F" w:rsidRPr="0039155F" w:rsidRDefault="00222EF9" w:rsidP="0039155F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</w:pPr>
      <w:hyperlink r:id="rId14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&lt;3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П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>о основным мероприятиям подпрограмм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39155F" w:rsidRPr="0039155F" w:rsidRDefault="00222EF9" w:rsidP="0039155F">
      <w:pPr>
        <w:suppressAutoHyphens w:val="0"/>
        <w:autoSpaceDE w:val="0"/>
        <w:adjustRightInd w:val="0"/>
        <w:ind w:right="-56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sz w:val="18"/>
          <w:lang w:eastAsia="en-US" w:bidi="ar-SA"/>
        </w:rPr>
      </w:pPr>
      <w:hyperlink r:id="rId15" w:anchor="Par1127" w:history="1"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&lt;4</w:t>
        </w:r>
        <w:proofErr w:type="gramStart"/>
        <w:r w:rsidR="0039155F" w:rsidRPr="0039155F">
          <w:rPr>
            <w:rFonts w:ascii="Times New Roman" w:eastAsia="Times New Roman" w:hAnsi="Times New Roman" w:cs="Times New Roman"/>
            <w:bCs/>
            <w:color w:val="000000"/>
            <w:kern w:val="0"/>
            <w:sz w:val="18"/>
            <w:u w:val="single"/>
            <w:lang w:eastAsia="ru-RU" w:bidi="ar-SA"/>
          </w:rPr>
          <w:t>&gt;</w:t>
        </w:r>
      </w:hyperlink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В</w:t>
      </w:r>
      <w:proofErr w:type="gramEnd"/>
      <w:r w:rsidR="0039155F" w:rsidRPr="0039155F"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39155F" w:rsidRPr="0039155F">
        <w:rPr>
          <w:rFonts w:ascii="Times New Roman" w:eastAsia="Times New Roman" w:hAnsi="Times New Roman" w:cs="Times New Roman"/>
          <w:kern w:val="0"/>
          <w:sz w:val="18"/>
          <w:lang w:eastAsia="ru-RU" w:bidi="ar-SA"/>
        </w:rPr>
        <w:t xml:space="preserve"> основное мероприятие 1.1 – ОМ 1.1.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39155F" w:rsidRPr="0039155F" w:rsidSect="00065B54">
          <w:pgSz w:w="16838" w:h="11906" w:orient="landscape"/>
          <w:pgMar w:top="284" w:right="536" w:bottom="851" w:left="340" w:header="720" w:footer="720" w:gutter="284"/>
          <w:cols w:space="720"/>
          <w:titlePg/>
        </w:sectPr>
      </w:pPr>
    </w:p>
    <w:p w:rsidR="0039155F" w:rsidRPr="0039155F" w:rsidRDefault="0039155F" w:rsidP="0039155F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39155F" w:rsidRPr="0039155F" w:rsidRDefault="0039155F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в </w:t>
      </w:r>
      <w:r w:rsidR="00181068">
        <w:rPr>
          <w:rFonts w:ascii="Times New Roman" w:eastAsia="Times New Roman" w:hAnsi="Times New Roman" w:cs="Times New Roman"/>
          <w:kern w:val="0"/>
          <w:lang w:eastAsia="ru-RU" w:bidi="ar-SA"/>
        </w:rPr>
        <w:t>2022</w:t>
      </w: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39155F" w:rsidRPr="0039155F" w:rsidRDefault="00181068" w:rsidP="0039155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39155F" w:rsidRPr="003915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7375D4" w:rsidRDefault="0039155F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>«</w:t>
      </w:r>
      <w:r w:rsidR="007375D4"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 xml:space="preserve">Обеспечение качественными жилищно-коммунальными услугами </w:t>
      </w:r>
    </w:p>
    <w:p w:rsidR="0039155F" w:rsidRPr="0039155F" w:rsidRDefault="007375D4" w:rsidP="007375D4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</w:pPr>
      <w:r w:rsidRPr="007375D4">
        <w:rPr>
          <w:rFonts w:ascii="Times New Roman" w:eastAsia="Times New Roman" w:hAnsi="Times New Roman" w:cs="Times New Roman" w:hint="eastAsia"/>
          <w:kern w:val="0"/>
          <w:szCs w:val="28"/>
          <w:lang w:eastAsia="ar-SA" w:bidi="ar-SA"/>
        </w:rPr>
        <w:t>населения Васильево-Ханжоновского  сельского поселения</w:t>
      </w:r>
      <w:r w:rsidR="0039155F" w:rsidRPr="0039155F">
        <w:rPr>
          <w:rFonts w:ascii="Times New Roman" w:eastAsia="Times New Roman" w:hAnsi="Times New Roman" w:cs="Times New Roman"/>
          <w:kern w:val="0"/>
          <w:szCs w:val="28"/>
          <w:lang w:eastAsia="ar-SA" w:bidi="ar-SA"/>
        </w:rPr>
        <w:t xml:space="preserve">» 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p w:rsidR="0039155F" w:rsidRPr="0039155F" w:rsidRDefault="0039155F" w:rsidP="0039155F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4860"/>
        <w:gridCol w:w="17"/>
        <w:gridCol w:w="1400"/>
        <w:gridCol w:w="17"/>
        <w:gridCol w:w="1968"/>
        <w:gridCol w:w="17"/>
        <w:gridCol w:w="1542"/>
        <w:gridCol w:w="17"/>
        <w:gridCol w:w="1400"/>
        <w:gridCol w:w="17"/>
        <w:gridCol w:w="3933"/>
        <w:gridCol w:w="16"/>
        <w:gridCol w:w="18"/>
      </w:tblGrid>
      <w:tr w:rsidR="0039155F" w:rsidRPr="0039155F" w:rsidTr="00065B54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39155F" w:rsidRPr="0039155F" w:rsidTr="00065B54">
        <w:trPr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16" w:anchor="Par1462" w:history="1">
              <w:r w:rsidRPr="0039155F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1"/>
          <w:wAfter w:w="18" w:type="dxa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5F" w:rsidRPr="0039155F" w:rsidRDefault="0039155F" w:rsidP="0039155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5F" w:rsidRPr="0039155F" w:rsidRDefault="0039155F" w:rsidP="001810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 программа  «</w:t>
            </w:r>
            <w:r w:rsidR="007375D4" w:rsidRPr="007375D4">
              <w:rPr>
                <w:rFonts w:ascii="Times New Roman" w:eastAsia="Times New Roman" w:hAnsi="Times New Roman" w:cs="Times New Roman" w:hint="eastAsia"/>
                <w:kern w:val="0"/>
                <w:lang w:eastAsia="ar-SA" w:bidi="ar-SA"/>
              </w:rPr>
              <w:t>Обеспечение качественными жилищно-коммунальными услугами населения Васильево-Ханжоновского  сельского поселения</w:t>
            </w:r>
            <w:r w:rsidRPr="0039155F">
              <w:rPr>
                <w:rFonts w:ascii="Times New Roman" w:eastAsia="Times New Roman" w:hAnsi="Times New Roman" w:cs="Times New Roman"/>
                <w:kern w:val="0"/>
                <w:lang w:eastAsia="ar-SA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trHeight w:val="313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4" w:rsidRPr="007375D4" w:rsidRDefault="007375D4" w:rsidP="007375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</w:t>
            </w: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ровень износа коммунальной инфраструктуры;</w:t>
            </w:r>
          </w:p>
          <w:p w:rsidR="0039155F" w:rsidRPr="0039155F" w:rsidRDefault="007375D4" w:rsidP="007375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75D4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освещение улиц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7375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48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7375D4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«</w:t>
            </w:r>
            <w:proofErr w:type="spellStart"/>
            <w:r w:rsidR="007375D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Энергоэффективность</w:t>
            </w:r>
            <w:proofErr w:type="spellEnd"/>
            <w:r w:rsidRPr="0039155F"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ar-SA"/>
              </w:rPr>
              <w:t>»</w:t>
            </w:r>
          </w:p>
        </w:tc>
      </w:tr>
      <w:tr w:rsidR="00181068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6B75" w:rsidP="00C04FD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3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8" w:rsidRPr="0039155F" w:rsidRDefault="00181068" w:rsidP="00C04F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CE3DD8" w:rsidRPr="0039155F" w:rsidTr="00CE3DD8">
        <w:trPr>
          <w:gridAfter w:val="2"/>
          <w:wAfter w:w="34" w:type="dxa"/>
          <w:jc w:val="center"/>
        </w:trPr>
        <w:tc>
          <w:tcPr>
            <w:tcW w:w="1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39155F" w:rsidRDefault="00186B75" w:rsidP="00CE3DD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</w:t>
            </w:r>
            <w:r w:rsidR="00CE3D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</w:t>
            </w:r>
            <w:r w:rsidR="00CE3DD8" w:rsidRPr="00CE3DD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Организация прочих мероприятий по благоустройству территории сельского поселения</w:t>
            </w:r>
            <w:r w:rsidR="00CE3DD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39155F" w:rsidRPr="0039155F" w:rsidTr="00065B54">
        <w:trPr>
          <w:gridAfter w:val="2"/>
          <w:wAfter w:w="34" w:type="dxa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  <w:r w:rsidR="0039155F"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(индикатор</w:t>
            </w:r>
            <w:r w:rsidRPr="0039155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)</w:t>
            </w:r>
          </w:p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186B75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Уровень газификации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9155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186B75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186B75" w:rsidP="0039155F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F" w:rsidRPr="0039155F" w:rsidRDefault="0039155F" w:rsidP="0039155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39155F" w:rsidRPr="0039155F" w:rsidRDefault="0039155F" w:rsidP="0039155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8"/>
          <w:lang w:eastAsia="en-US" w:bidi="ar-SA"/>
        </w:rPr>
      </w:pPr>
    </w:p>
    <w:p w:rsidR="0039155F" w:rsidRPr="0039155F" w:rsidRDefault="0039155F" w:rsidP="0039155F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</w:pPr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&lt;1</w:t>
      </w:r>
      <w:proofErr w:type="gramStart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&gt; П</w:t>
      </w:r>
      <w:proofErr w:type="gramEnd"/>
      <w:r w:rsidRPr="0039155F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39155F" w:rsidRPr="0039155F" w:rsidRDefault="0039155F" w:rsidP="0039155F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sectPr w:rsidR="0039155F" w:rsidRPr="0039155F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6E07AA9"/>
    <w:multiLevelType w:val="hybridMultilevel"/>
    <w:tmpl w:val="D354E620"/>
    <w:lvl w:ilvl="0" w:tplc="1A966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22FB2B1A"/>
    <w:multiLevelType w:val="hybridMultilevel"/>
    <w:tmpl w:val="56789612"/>
    <w:lvl w:ilvl="0" w:tplc="0FB26C8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7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16"/>
  </w:num>
  <w:num w:numId="15">
    <w:abstractNumId w:val="5"/>
  </w:num>
  <w:num w:numId="16">
    <w:abstractNumId w:val="19"/>
  </w:num>
  <w:num w:numId="17">
    <w:abstractNumId w:val="15"/>
  </w:num>
  <w:num w:numId="18">
    <w:abstractNumId w:val="4"/>
  </w:num>
  <w:num w:numId="19">
    <w:abstractNumId w:val="12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B97"/>
    <w:rsid w:val="00065B54"/>
    <w:rsid w:val="00094354"/>
    <w:rsid w:val="000C4567"/>
    <w:rsid w:val="000D3CB1"/>
    <w:rsid w:val="000E0166"/>
    <w:rsid w:val="000E2EF0"/>
    <w:rsid w:val="000E6376"/>
    <w:rsid w:val="000F1E0D"/>
    <w:rsid w:val="00124C1B"/>
    <w:rsid w:val="0015192B"/>
    <w:rsid w:val="001547A8"/>
    <w:rsid w:val="00166CF9"/>
    <w:rsid w:val="00181068"/>
    <w:rsid w:val="00186B75"/>
    <w:rsid w:val="001A393A"/>
    <w:rsid w:val="001F5C12"/>
    <w:rsid w:val="00222EF9"/>
    <w:rsid w:val="00252925"/>
    <w:rsid w:val="00256F98"/>
    <w:rsid w:val="00260F30"/>
    <w:rsid w:val="002772EC"/>
    <w:rsid w:val="002A2AAC"/>
    <w:rsid w:val="002B7B35"/>
    <w:rsid w:val="002C33E6"/>
    <w:rsid w:val="002D715A"/>
    <w:rsid w:val="002F4EFD"/>
    <w:rsid w:val="00303B47"/>
    <w:rsid w:val="003113CD"/>
    <w:rsid w:val="00390E46"/>
    <w:rsid w:val="0039155F"/>
    <w:rsid w:val="00391889"/>
    <w:rsid w:val="00394D1F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1AF0"/>
    <w:rsid w:val="005D558E"/>
    <w:rsid w:val="00620D96"/>
    <w:rsid w:val="0063454F"/>
    <w:rsid w:val="00635DE8"/>
    <w:rsid w:val="0067410C"/>
    <w:rsid w:val="006A6F49"/>
    <w:rsid w:val="006B166F"/>
    <w:rsid w:val="006C1166"/>
    <w:rsid w:val="006D5645"/>
    <w:rsid w:val="006E0D0E"/>
    <w:rsid w:val="007239BD"/>
    <w:rsid w:val="00735357"/>
    <w:rsid w:val="007375D4"/>
    <w:rsid w:val="007A6B9C"/>
    <w:rsid w:val="007B1BE4"/>
    <w:rsid w:val="007C5903"/>
    <w:rsid w:val="008223C8"/>
    <w:rsid w:val="0090796A"/>
    <w:rsid w:val="009101BE"/>
    <w:rsid w:val="00937C2F"/>
    <w:rsid w:val="00946499"/>
    <w:rsid w:val="009642AC"/>
    <w:rsid w:val="00997E54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4FD1"/>
    <w:rsid w:val="00C059B0"/>
    <w:rsid w:val="00C31D55"/>
    <w:rsid w:val="00C710D7"/>
    <w:rsid w:val="00C82201"/>
    <w:rsid w:val="00CA47E6"/>
    <w:rsid w:val="00CB7B6A"/>
    <w:rsid w:val="00CE3DD8"/>
    <w:rsid w:val="00CF7CC1"/>
    <w:rsid w:val="00D1619E"/>
    <w:rsid w:val="00D2120E"/>
    <w:rsid w:val="00D53B8E"/>
    <w:rsid w:val="00D65B36"/>
    <w:rsid w:val="00DF6AD7"/>
    <w:rsid w:val="00E17D31"/>
    <w:rsid w:val="00E45138"/>
    <w:rsid w:val="00E52B57"/>
    <w:rsid w:val="00E8671A"/>
    <w:rsid w:val="00EB2ED6"/>
    <w:rsid w:val="00ED3FB6"/>
    <w:rsid w:val="00F22D80"/>
    <w:rsid w:val="00F307E2"/>
    <w:rsid w:val="00F43ECE"/>
    <w:rsid w:val="00F805BB"/>
    <w:rsid w:val="00F82F78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97E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691C-0976-433C-AFAB-510C216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10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54</cp:revision>
  <cp:lastPrinted>2023-02-07T06:37:00Z</cp:lastPrinted>
  <dcterms:created xsi:type="dcterms:W3CDTF">2018-10-11T10:51:00Z</dcterms:created>
  <dcterms:modified xsi:type="dcterms:W3CDTF">2023-02-27T07:42:00Z</dcterms:modified>
</cp:coreProperties>
</file>